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65" w:type="dxa"/>
        <w:tblLayout w:type="fixed"/>
        <w:tblLook w:val="04A0"/>
      </w:tblPr>
      <w:tblGrid>
        <w:gridCol w:w="1134"/>
        <w:gridCol w:w="8931"/>
      </w:tblGrid>
      <w:tr w:rsidR="008511AF" w:rsidTr="00CD273D">
        <w:trPr>
          <w:trHeight w:val="94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0639" w:rsidRDefault="00170639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170639" w:rsidRDefault="00170639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505C75" w:rsidRDefault="00505C75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505C75" w:rsidRDefault="00505C75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D5060" w:rsidRDefault="00CD5060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D5060" w:rsidRDefault="00CD5060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D5060" w:rsidRDefault="00CD5060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505C75" w:rsidRDefault="00505C75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170639" w:rsidRDefault="000126A2" w:rsidP="00DF20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980952" cy="714286"/>
                  <wp:effectExtent l="0" t="4762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80952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62A47" w:rsidRPr="008206F5" w:rsidRDefault="00A62A47" w:rsidP="00BE34F7">
            <w:pPr>
              <w:ind w:right="567"/>
              <w:jc w:val="both"/>
              <w:rPr>
                <w:b/>
                <w:sz w:val="10"/>
                <w:szCs w:val="10"/>
              </w:rPr>
            </w:pPr>
          </w:p>
          <w:p w:rsidR="00086B15" w:rsidRPr="002C57A9" w:rsidRDefault="00101FC3" w:rsidP="00234511">
            <w:pPr>
              <w:jc w:val="center"/>
              <w:rPr>
                <w:b/>
                <w:color w:val="ACB9CA" w:themeColor="text2" w:themeTint="66"/>
                <w:sz w:val="28"/>
                <w:szCs w:val="28"/>
              </w:rPr>
            </w:pPr>
            <w:r>
              <w:rPr>
                <w:b/>
                <w:color w:val="ACB9CA" w:themeColor="text2" w:themeTint="66"/>
                <w:sz w:val="28"/>
                <w:szCs w:val="28"/>
              </w:rPr>
              <w:t>Desescalada en la actividad comercial</w:t>
            </w:r>
          </w:p>
          <w:p w:rsidR="00BE479C" w:rsidRDefault="00101FC3" w:rsidP="00C628CD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Retrasar el inicio de la actividad en los comercios de más de 400 m</w:t>
            </w:r>
            <w:r>
              <w:rPr>
                <w:b/>
                <w:color w:val="000000" w:themeColor="text1"/>
                <w:sz w:val="40"/>
                <w:szCs w:val="40"/>
                <w:vertAlign w:val="superscript"/>
              </w:rPr>
              <w:t>2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tendr</w:t>
            </w:r>
            <w:r w:rsidR="00BC54CF">
              <w:rPr>
                <w:b/>
                <w:color w:val="000000" w:themeColor="text1"/>
                <w:sz w:val="40"/>
                <w:szCs w:val="40"/>
              </w:rPr>
              <w:t>á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un elevado coste en puestos de trabajo</w:t>
            </w:r>
            <w:r w:rsidR="00F8027F" w:rsidRPr="00397E7F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BC54CF">
              <w:rPr>
                <w:b/>
                <w:color w:val="000000" w:themeColor="text1"/>
                <w:sz w:val="40"/>
                <w:szCs w:val="40"/>
              </w:rPr>
              <w:t>y para las pymes</w:t>
            </w:r>
          </w:p>
          <w:p w:rsidR="00595311" w:rsidRPr="00BD775E" w:rsidRDefault="00595311" w:rsidP="00595311">
            <w:pPr>
              <w:pStyle w:val="Prrafodelista"/>
              <w:rPr>
                <w:sz w:val="10"/>
                <w:szCs w:val="10"/>
              </w:rPr>
            </w:pPr>
          </w:p>
          <w:p w:rsidR="00B34AED" w:rsidRPr="005C1FA5" w:rsidRDefault="00B34AED" w:rsidP="00B34AED">
            <w:pPr>
              <w:pStyle w:val="Prrafodelista"/>
              <w:rPr>
                <w:bCs/>
                <w:color w:val="000000" w:themeColor="text1"/>
                <w:sz w:val="10"/>
                <w:szCs w:val="10"/>
              </w:rPr>
            </w:pPr>
          </w:p>
          <w:p w:rsidR="00595311" w:rsidRPr="00336680" w:rsidRDefault="00595311" w:rsidP="00595311">
            <w:pPr>
              <w:pStyle w:val="Prrafodelista"/>
              <w:rPr>
                <w:bCs/>
                <w:color w:val="000000" w:themeColor="text1"/>
                <w:sz w:val="10"/>
                <w:szCs w:val="10"/>
              </w:rPr>
            </w:pPr>
          </w:p>
          <w:p w:rsidR="00101FC3" w:rsidRPr="00101FC3" w:rsidRDefault="00101FC3" w:rsidP="009B36F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La </w:t>
            </w:r>
            <w:r w:rsidRPr="00101FC3">
              <w:rPr>
                <w:rFonts w:eastAsia="Times New Roman" w:cstheme="minorHAnsi"/>
                <w:sz w:val="24"/>
                <w:szCs w:val="24"/>
                <w:lang w:eastAsia="es-ES"/>
              </w:rPr>
              <w:t>Cámara de España pide eliminar la limitación de la superficie de los establecimientos para la apertura del comercio a partir del 11 de mayo</w:t>
            </w:r>
          </w:p>
          <w:p w:rsidR="00101FC3" w:rsidRDefault="00101FC3" w:rsidP="00576C2C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</w:p>
          <w:p w:rsidR="00576C2C" w:rsidRPr="00121B7E" w:rsidRDefault="00234511" w:rsidP="00576C2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D82901">
              <w:rPr>
                <w:b/>
                <w:sz w:val="24"/>
                <w:szCs w:val="24"/>
              </w:rPr>
              <w:t>Madrid</w:t>
            </w:r>
            <w:r w:rsidRPr="00D82901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9B36F6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813555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D82901">
              <w:rPr>
                <w:b/>
                <w:color w:val="000000" w:themeColor="text1"/>
                <w:sz w:val="24"/>
                <w:szCs w:val="24"/>
              </w:rPr>
              <w:t>/0</w:t>
            </w:r>
            <w:r w:rsidR="009B36F6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D82901">
              <w:rPr>
                <w:b/>
                <w:color w:val="000000" w:themeColor="text1"/>
                <w:sz w:val="24"/>
                <w:szCs w:val="24"/>
              </w:rPr>
              <w:t>/2020</w:t>
            </w:r>
            <w:r w:rsidRPr="00D82901">
              <w:rPr>
                <w:sz w:val="24"/>
                <w:szCs w:val="24"/>
              </w:rPr>
              <w:t xml:space="preserve">.- </w:t>
            </w:r>
            <w:r w:rsidR="009B36F6">
              <w:rPr>
                <w:sz w:val="24"/>
                <w:szCs w:val="24"/>
              </w:rPr>
              <w:t xml:space="preserve">La Cámara de Comercio de España </w:t>
            </w:r>
            <w:r w:rsidR="000C0B67">
              <w:rPr>
                <w:sz w:val="24"/>
                <w:szCs w:val="24"/>
              </w:rPr>
              <w:t>pide al Gobierno que para la Fase 1 del Plan de Desescalada se elimine</w:t>
            </w:r>
            <w:r w:rsidR="00576C2C">
              <w:rPr>
                <w:sz w:val="24"/>
                <w:szCs w:val="24"/>
              </w:rPr>
              <w:t xml:space="preserve"> la superficie</w:t>
            </w:r>
            <w:r w:rsidR="000C0B67">
              <w:rPr>
                <w:sz w:val="24"/>
                <w:szCs w:val="24"/>
              </w:rPr>
              <w:t xml:space="preserve"> máxima</w:t>
            </w:r>
            <w:r w:rsidR="00576C2C">
              <w:rPr>
                <w:sz w:val="24"/>
                <w:szCs w:val="24"/>
              </w:rPr>
              <w:t xml:space="preserve"> de los establecimientos comerciales que podrán reanudar su actividad a partir del próximo 11 de mayo, ya que de mantenerse la prohibición de la actividad </w:t>
            </w:r>
            <w:r w:rsidR="00121B7E">
              <w:rPr>
                <w:sz w:val="24"/>
                <w:szCs w:val="24"/>
              </w:rPr>
              <w:t>en los comercios con más de 400 m</w:t>
            </w:r>
            <w:r w:rsidR="00121B7E">
              <w:rPr>
                <w:sz w:val="24"/>
                <w:szCs w:val="24"/>
                <w:vertAlign w:val="superscript"/>
              </w:rPr>
              <w:t xml:space="preserve">2 </w:t>
            </w:r>
            <w:r w:rsidR="00121B7E">
              <w:rPr>
                <w:sz w:val="24"/>
                <w:szCs w:val="24"/>
              </w:rPr>
              <w:t>se estarán poniendo en riesgo miles de puestos de trabajo</w:t>
            </w:r>
            <w:r w:rsidR="00BC54CF">
              <w:rPr>
                <w:sz w:val="24"/>
                <w:szCs w:val="24"/>
              </w:rPr>
              <w:t xml:space="preserve"> y la supervivencia de numerosas pymes.</w:t>
            </w:r>
            <w:r w:rsidR="000C0B67">
              <w:rPr>
                <w:sz w:val="24"/>
                <w:szCs w:val="24"/>
              </w:rPr>
              <w:t xml:space="preserve">  Asimismo, la apertura de este tipo de establecimientos permitirá a muchas empresas solicitar el fin de sus ERTE, lo que redundará en un menor gasto para la Seguridad Social.</w:t>
            </w:r>
          </w:p>
          <w:p w:rsidR="00576C2C" w:rsidRDefault="00576C2C" w:rsidP="00576C2C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576C2C" w:rsidRDefault="00576C2C" w:rsidP="00576C2C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101FC3" w:rsidRPr="00101FC3">
              <w:rPr>
                <w:sz w:val="24"/>
                <w:szCs w:val="24"/>
              </w:rPr>
              <w:t xml:space="preserve">Orden SND/388/2020, de 3 de mayo </w:t>
            </w:r>
            <w:r>
              <w:rPr>
                <w:sz w:val="24"/>
                <w:szCs w:val="24"/>
              </w:rPr>
              <w:t xml:space="preserve">establece que en la Fase </w:t>
            </w:r>
            <w:r w:rsidR="00BC54C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del proceso de desescalada solo podrán reanudarse las actividades comerciales que se desarrollen en establecimientos de menos de 400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En opinión de la Cámara de España esta limitación no tiene justificación alguna</w:t>
            </w:r>
            <w:r w:rsidR="000C0B67">
              <w:rPr>
                <w:sz w:val="24"/>
                <w:szCs w:val="24"/>
              </w:rPr>
              <w:t xml:space="preserve"> desde el punto de vista sanitario</w:t>
            </w:r>
            <w:r>
              <w:rPr>
                <w:sz w:val="24"/>
                <w:szCs w:val="24"/>
              </w:rPr>
              <w:t xml:space="preserve"> y, </w:t>
            </w:r>
            <w:r w:rsidR="00813555">
              <w:rPr>
                <w:sz w:val="24"/>
                <w:szCs w:val="24"/>
              </w:rPr>
              <w:t>la mayoría de</w:t>
            </w:r>
            <w:r w:rsidR="000C0B67">
              <w:rPr>
                <w:sz w:val="24"/>
                <w:szCs w:val="24"/>
              </w:rPr>
              <w:t xml:space="preserve"> países de la U</w:t>
            </w:r>
            <w:r w:rsidR="00813555">
              <w:rPr>
                <w:sz w:val="24"/>
                <w:szCs w:val="24"/>
              </w:rPr>
              <w:t>nión Europea</w:t>
            </w:r>
            <w:r w:rsidR="000C0B67">
              <w:rPr>
                <w:sz w:val="24"/>
                <w:szCs w:val="24"/>
              </w:rPr>
              <w:t xml:space="preserve"> no h</w:t>
            </w:r>
            <w:r w:rsidR="00813555">
              <w:rPr>
                <w:sz w:val="24"/>
                <w:szCs w:val="24"/>
              </w:rPr>
              <w:t>a</w:t>
            </w:r>
            <w:r w:rsidR="000C0B67">
              <w:rPr>
                <w:sz w:val="24"/>
                <w:szCs w:val="24"/>
              </w:rPr>
              <w:t xml:space="preserve"> establecido dicha limitación.</w:t>
            </w:r>
          </w:p>
          <w:p w:rsidR="000C0B67" w:rsidRDefault="000C0B67" w:rsidP="00576C2C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0C0B67" w:rsidRDefault="000C0B67" w:rsidP="000C0B6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otro lado, la Cámara de Comercio de España entiende que la limitación por superficie afectará también a multitud de pymes que por la naturaleza más voluminosa de la mercancía que venden (muebles o electrodomésticos, por ejemplo) desarrollan su actividad en locales de mayor tamaño.</w:t>
            </w:r>
          </w:p>
          <w:p w:rsidR="00121B7E" w:rsidRDefault="00121B7E" w:rsidP="00576C2C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F85234" w:rsidRPr="00F85234" w:rsidRDefault="00121B7E" w:rsidP="00BC54CF">
            <w:pPr>
              <w:spacing w:line="256" w:lineRule="auto"/>
              <w:jc w:val="both"/>
              <w:rPr>
                <w:sz w:val="28"/>
                <w:szCs w:val="26"/>
              </w:rPr>
            </w:pPr>
            <w:r>
              <w:rPr>
                <w:sz w:val="24"/>
                <w:szCs w:val="24"/>
              </w:rPr>
              <w:t>Por todo ello, la Cámara de Es</w:t>
            </w:r>
            <w:r w:rsidR="000C0B67">
              <w:rPr>
                <w:sz w:val="24"/>
                <w:szCs w:val="24"/>
              </w:rPr>
              <w:t xml:space="preserve">paña pide al Gobierno que </w:t>
            </w:r>
            <w:r>
              <w:rPr>
                <w:sz w:val="24"/>
                <w:szCs w:val="24"/>
              </w:rPr>
              <w:t>considere esa</w:t>
            </w:r>
            <w:r w:rsidR="000C0B67">
              <w:rPr>
                <w:sz w:val="24"/>
                <w:szCs w:val="24"/>
              </w:rPr>
              <w:t xml:space="preserve"> limitación</w:t>
            </w:r>
            <w:r>
              <w:rPr>
                <w:sz w:val="24"/>
                <w:szCs w:val="24"/>
              </w:rPr>
              <w:t xml:space="preserve"> ya que</w:t>
            </w:r>
            <w:r w:rsidR="00BC54CF">
              <w:rPr>
                <w:sz w:val="24"/>
                <w:szCs w:val="24"/>
              </w:rPr>
              <w:t xml:space="preserve"> más allá de</w:t>
            </w:r>
            <w:r>
              <w:rPr>
                <w:sz w:val="24"/>
                <w:szCs w:val="24"/>
              </w:rPr>
              <w:t xml:space="preserve"> la superficie del establecimiento</w:t>
            </w:r>
            <w:r w:rsidR="00BC54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C54CF">
              <w:rPr>
                <w:sz w:val="24"/>
                <w:szCs w:val="24"/>
              </w:rPr>
              <w:t xml:space="preserve">lo relevante es aplicar </w:t>
            </w:r>
            <w:r>
              <w:rPr>
                <w:sz w:val="24"/>
                <w:szCs w:val="24"/>
              </w:rPr>
              <w:t>las adecuadas medidas higiénicas y de seguridad mediante la reducción del aforo y el establecimiento de distancia interpersonal</w:t>
            </w:r>
            <w:r w:rsidR="00BC54CF">
              <w:rPr>
                <w:sz w:val="24"/>
                <w:szCs w:val="24"/>
              </w:rPr>
              <w:t>, siguiendo todos los requerimientos sanitarios establecidos.</w:t>
            </w:r>
          </w:p>
          <w:tbl>
            <w:tblPr>
              <w:tblW w:w="0" w:type="auto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32"/>
              <w:gridCol w:w="64"/>
              <w:gridCol w:w="3224"/>
            </w:tblGrid>
            <w:tr w:rsidR="00367238" w:rsidTr="00B56473">
              <w:trPr>
                <w:tblCellSpacing w:w="22" w:type="dxa"/>
              </w:trPr>
              <w:tc>
                <w:tcPr>
                  <w:tcW w:w="1666" w:type="dxa"/>
                  <w:vAlign w:val="center"/>
                  <w:hideMark/>
                </w:tcPr>
                <w:p w:rsidR="00367238" w:rsidRDefault="00B56473" w:rsidP="00367238">
                  <w:pPr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noProof/>
                      <w:color w:val="1F497D"/>
                      <w:sz w:val="20"/>
                      <w:szCs w:val="20"/>
                      <w:lang w:eastAsia="es-ES"/>
                    </w:rPr>
                    <w:drawing>
                      <wp:inline distT="0" distB="0" distL="0" distR="0">
                        <wp:extent cx="865669" cy="1037615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2-Logo_pequeny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2928" cy="1070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367238" w:rsidRDefault="00367238" w:rsidP="00367238">
                  <w:pPr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158" w:type="dxa"/>
                  <w:vAlign w:val="center"/>
                </w:tcPr>
                <w:p w:rsidR="00367238" w:rsidRDefault="00367238" w:rsidP="00367238">
                  <w:pPr>
                    <w:rPr>
                      <w:rFonts w:ascii="Calibri" w:hAnsi="Calibri"/>
                      <w:b/>
                      <w:bCs/>
                      <w:color w:val="2E74B5" w:themeColor="accent1" w:themeShade="BF"/>
                      <w:sz w:val="24"/>
                      <w:szCs w:val="20"/>
                    </w:rPr>
                  </w:pPr>
                </w:p>
                <w:p w:rsidR="00367238" w:rsidRDefault="00367238" w:rsidP="00367238">
                  <w:pPr>
                    <w:rPr>
                      <w:rFonts w:ascii="Calibri" w:hAnsi="Calibri"/>
                      <w:color w:val="1F497D"/>
                      <w:sz w:val="24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2E74B5" w:themeColor="accent1" w:themeShade="BF"/>
                      <w:sz w:val="24"/>
                      <w:szCs w:val="20"/>
                    </w:rPr>
                    <w:t>Más información:</w:t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br/>
                  </w:r>
                  <w:r>
                    <w:rPr>
                      <w:rFonts w:ascii="Calibri" w:hAnsi="Calibri"/>
                      <w:color w:val="C2002F"/>
                      <w:sz w:val="24"/>
                      <w:szCs w:val="20"/>
                    </w:rPr>
                    <w:t>Cámara de Comercio de España</w:t>
                  </w:r>
                  <w:r>
                    <w:rPr>
                      <w:rFonts w:ascii="Calibri" w:hAnsi="Calibri"/>
                      <w:color w:val="1F497D"/>
                      <w:sz w:val="24"/>
                      <w:szCs w:val="20"/>
                    </w:rPr>
                    <w:br/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t xml:space="preserve">Comunicación y marketing </w:t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br/>
                  </w:r>
                  <w:proofErr w:type="spellStart"/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t>Tfno</w:t>
                  </w:r>
                  <w:proofErr w:type="spellEnd"/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t>: 91 590 69 09</w:t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br/>
                    <w:t xml:space="preserve">C/ Ribera del Loira, 12                 28042 - Madrid </w:t>
                  </w:r>
                  <w:r>
                    <w:rPr>
                      <w:rFonts w:ascii="Calibri" w:hAnsi="Calibri"/>
                      <w:color w:val="2E74B5" w:themeColor="accent1" w:themeShade="BF"/>
                      <w:sz w:val="24"/>
                      <w:szCs w:val="20"/>
                    </w:rPr>
                    <w:br/>
                  </w:r>
                </w:p>
              </w:tc>
            </w:tr>
          </w:tbl>
          <w:p w:rsidR="00367238" w:rsidRDefault="00367238" w:rsidP="00367238">
            <w:pPr>
              <w:rPr>
                <w:sz w:val="24"/>
                <w:szCs w:val="24"/>
              </w:rPr>
            </w:pPr>
          </w:p>
          <w:p w:rsidR="00367238" w:rsidRDefault="00367238" w:rsidP="00266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Síguenos en:</w:t>
            </w:r>
          </w:p>
          <w:p w:rsidR="00F85234" w:rsidRDefault="00F85234" w:rsidP="00266B0C">
            <w:pPr>
              <w:rPr>
                <w:sz w:val="24"/>
                <w:szCs w:val="24"/>
              </w:rPr>
            </w:pPr>
          </w:p>
          <w:p w:rsidR="00F85234" w:rsidRPr="00827261" w:rsidRDefault="00F85234" w:rsidP="00266B0C">
            <w:pPr>
              <w:rPr>
                <w:sz w:val="24"/>
                <w:szCs w:val="26"/>
              </w:rPr>
            </w:pPr>
          </w:p>
          <w:p w:rsidR="00C75471" w:rsidRDefault="00F85234" w:rsidP="00DF20EA">
            <w:pPr>
              <w:jc w:val="both"/>
              <w:rPr>
                <w:b/>
                <w:sz w:val="24"/>
                <w:szCs w:val="24"/>
              </w:rPr>
            </w:pPr>
            <w:r w:rsidRPr="000B34D7">
              <w:rPr>
                <w:noProof/>
                <w:lang w:eastAsia="es-ES"/>
              </w:rPr>
              <w:drawing>
                <wp:inline distT="0" distB="0" distL="0" distR="0">
                  <wp:extent cx="457200" cy="457200"/>
                  <wp:effectExtent l="0" t="0" r="0" b="0"/>
                  <wp:docPr id="6" name="Imagen 6" descr="Twitter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>
                  <wp:extent cx="457200" cy="457200"/>
                  <wp:effectExtent l="0" t="0" r="0" b="0"/>
                  <wp:docPr id="5" name="Imagen 5" descr="Facebook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>
                  <wp:extent cx="457200" cy="457200"/>
                  <wp:effectExtent l="0" t="0" r="0" b="0"/>
                  <wp:docPr id="4" name="Imagen 4" descr="LinkedIn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>
                  <wp:extent cx="457200" cy="457200"/>
                  <wp:effectExtent l="0" t="0" r="0" b="0"/>
                  <wp:docPr id="7" name="Imagen 7" descr="YouTube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>
                  <wp:extent cx="457200" cy="457200"/>
                  <wp:effectExtent l="0" t="0" r="0" b="0"/>
                  <wp:docPr id="2" name="Imagen 2" descr="Website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4D7">
              <w:rPr>
                <w:noProof/>
                <w:lang w:eastAsia="es-ES"/>
              </w:rPr>
              <w:drawing>
                <wp:inline distT="0" distB="0" distL="0" distR="0">
                  <wp:extent cx="457200" cy="457200"/>
                  <wp:effectExtent l="0" t="0" r="0" b="0"/>
                  <wp:docPr id="8" name="Imagen 8" descr="RSS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471" w:rsidRDefault="00C75471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75471" w:rsidRDefault="00C75471" w:rsidP="00DF20E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1227" w:rsidTr="00CD273D">
        <w:trPr>
          <w:trHeight w:val="94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1227" w:rsidRDefault="00941227" w:rsidP="00DF20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941227" w:rsidRPr="008206F5" w:rsidRDefault="00941227" w:rsidP="00BE34F7">
            <w:pPr>
              <w:ind w:right="567"/>
              <w:jc w:val="both"/>
              <w:rPr>
                <w:b/>
                <w:sz w:val="10"/>
                <w:szCs w:val="10"/>
              </w:rPr>
            </w:pPr>
          </w:p>
        </w:tc>
      </w:tr>
    </w:tbl>
    <w:p w:rsidR="00FA1AD9" w:rsidRPr="00FA1AD9" w:rsidRDefault="00FA1AD9" w:rsidP="00C75471">
      <w:pPr>
        <w:jc w:val="both"/>
        <w:rPr>
          <w:b/>
          <w:color w:val="9CC2E5" w:themeColor="accent1" w:themeTint="99"/>
          <w:sz w:val="96"/>
          <w:szCs w:val="96"/>
          <w:u w:val="single"/>
        </w:rPr>
      </w:pPr>
    </w:p>
    <w:sectPr w:rsidR="00FA1AD9" w:rsidRPr="00FA1AD9" w:rsidSect="0019083A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64" w:rsidRDefault="00AE4564" w:rsidP="00100366">
      <w:pPr>
        <w:spacing w:after="0" w:line="240" w:lineRule="auto"/>
      </w:pPr>
      <w:r>
        <w:separator/>
      </w:r>
    </w:p>
  </w:endnote>
  <w:endnote w:type="continuationSeparator" w:id="0">
    <w:p w:rsidR="00AE4564" w:rsidRDefault="00AE4564" w:rsidP="0010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64" w:rsidRDefault="00AE4564" w:rsidP="00100366">
      <w:pPr>
        <w:spacing w:after="0" w:line="240" w:lineRule="auto"/>
      </w:pPr>
      <w:r>
        <w:separator/>
      </w:r>
    </w:p>
  </w:footnote>
  <w:footnote w:type="continuationSeparator" w:id="0">
    <w:p w:rsidR="00AE4564" w:rsidRDefault="00AE4564" w:rsidP="0010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348" w:type="dxa"/>
      <w:tblLayout w:type="fixed"/>
      <w:tblLook w:val="04A0"/>
    </w:tblPr>
    <w:tblGrid>
      <w:gridCol w:w="10348"/>
    </w:tblGrid>
    <w:tr w:rsidR="008206F5" w:rsidTr="00AA3B44">
      <w:trPr>
        <w:trHeight w:val="272"/>
      </w:trPr>
      <w:tc>
        <w:tcPr>
          <w:tcW w:w="10348" w:type="dxa"/>
          <w:tcBorders>
            <w:top w:val="nil"/>
            <w:left w:val="nil"/>
            <w:bottom w:val="nil"/>
            <w:right w:val="nil"/>
          </w:tcBorders>
        </w:tcPr>
        <w:p w:rsidR="008206F5" w:rsidRDefault="00127544" w:rsidP="008206F5">
          <w:pPr>
            <w:pStyle w:val="Encabezado"/>
            <w:tabs>
              <w:tab w:val="left" w:pos="1170"/>
              <w:tab w:val="center" w:pos="5066"/>
            </w:tabs>
          </w:pPr>
          <w:r>
            <w:rPr>
              <w:noProof/>
              <w:sz w:val="24"/>
              <w:szCs w:val="24"/>
              <w:lang w:eastAsia="es-ES"/>
            </w:rPr>
            <w:t xml:space="preserve">             </w:t>
          </w:r>
          <w:r w:rsidR="003531D1">
            <w:rPr>
              <w:noProof/>
              <w:lang w:eastAsia="es-ES"/>
            </w:rPr>
            <w:t xml:space="preserve">     </w:t>
          </w:r>
          <w:r>
            <w:rPr>
              <w:noProof/>
              <w:lang w:eastAsia="es-ES"/>
            </w:rPr>
            <w:t xml:space="preserve">                                                      </w:t>
          </w:r>
          <w:r w:rsidR="005B5480">
            <w:rPr>
              <w:noProof/>
              <w:lang w:eastAsia="es-ES"/>
            </w:rPr>
            <w:t xml:space="preserve">                                                                 </w:t>
          </w:r>
          <w:r>
            <w:rPr>
              <w:noProof/>
              <w:lang w:eastAsia="es-ES"/>
            </w:rPr>
            <w:t xml:space="preserve">   </w:t>
          </w:r>
          <w:r w:rsidR="003531D1">
            <w:rPr>
              <w:noProof/>
              <w:lang w:eastAsia="es-ES"/>
            </w:rPr>
            <w:t xml:space="preserve">       </w:t>
          </w:r>
          <w:r w:rsidR="003E53C0">
            <w:rPr>
              <w:noProof/>
              <w:lang w:eastAsia="es-ES"/>
            </w:rPr>
            <w:drawing>
              <wp:inline distT="0" distB="0" distL="0" distR="0">
                <wp:extent cx="1666875" cy="512885"/>
                <wp:effectExtent l="0" t="0" r="0" b="1905"/>
                <wp:docPr id="3" name="Imagen 3" descr="Logo Camara de Espa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ara de Españ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375" cy="51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31D1">
            <w:rPr>
              <w:noProof/>
              <w:lang w:eastAsia="es-ES"/>
            </w:rPr>
            <w:t xml:space="preserve">                                                                           </w:t>
          </w:r>
        </w:p>
        <w:p w:rsidR="008206F5" w:rsidRDefault="008206F5" w:rsidP="008206F5">
          <w:pPr>
            <w:jc w:val="both"/>
            <w:rPr>
              <w:b/>
              <w:sz w:val="24"/>
              <w:szCs w:val="24"/>
            </w:rPr>
          </w:pPr>
        </w:p>
      </w:tc>
    </w:tr>
  </w:tbl>
  <w:p w:rsidR="008206F5" w:rsidRDefault="008206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D8D"/>
    <w:multiLevelType w:val="hybridMultilevel"/>
    <w:tmpl w:val="D536F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5E53CF"/>
    <w:multiLevelType w:val="hybridMultilevel"/>
    <w:tmpl w:val="05B07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8E10CC"/>
    <w:multiLevelType w:val="hybridMultilevel"/>
    <w:tmpl w:val="2ED2B9BA"/>
    <w:lvl w:ilvl="0" w:tplc="398E7A5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C38"/>
    <w:multiLevelType w:val="hybridMultilevel"/>
    <w:tmpl w:val="D42C4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56F6A"/>
    <w:multiLevelType w:val="hybridMultilevel"/>
    <w:tmpl w:val="0922A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051CB"/>
    <w:multiLevelType w:val="hybridMultilevel"/>
    <w:tmpl w:val="5A12F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248CF"/>
    <w:multiLevelType w:val="hybridMultilevel"/>
    <w:tmpl w:val="D8C49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06FFB"/>
    <w:multiLevelType w:val="hybridMultilevel"/>
    <w:tmpl w:val="9FF2B0EA"/>
    <w:lvl w:ilvl="0" w:tplc="8FA636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C8E4423"/>
    <w:multiLevelType w:val="hybridMultilevel"/>
    <w:tmpl w:val="3B28C4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9A77AC"/>
    <w:multiLevelType w:val="hybridMultilevel"/>
    <w:tmpl w:val="B7745A80"/>
    <w:lvl w:ilvl="0" w:tplc="8FA63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3F2326A"/>
    <w:multiLevelType w:val="hybridMultilevel"/>
    <w:tmpl w:val="0290BD92"/>
    <w:lvl w:ilvl="0" w:tplc="486A74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F4AA2"/>
    <w:multiLevelType w:val="hybridMultilevel"/>
    <w:tmpl w:val="BFBC3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B1CDB"/>
    <w:multiLevelType w:val="hybridMultilevel"/>
    <w:tmpl w:val="95D45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18BB"/>
    <w:rsid w:val="000053C7"/>
    <w:rsid w:val="00006319"/>
    <w:rsid w:val="00006F60"/>
    <w:rsid w:val="000126A2"/>
    <w:rsid w:val="00013A09"/>
    <w:rsid w:val="000275F5"/>
    <w:rsid w:val="0003518E"/>
    <w:rsid w:val="000370C1"/>
    <w:rsid w:val="0004189C"/>
    <w:rsid w:val="000602CF"/>
    <w:rsid w:val="00060FE4"/>
    <w:rsid w:val="00085692"/>
    <w:rsid w:val="00086A85"/>
    <w:rsid w:val="00086B15"/>
    <w:rsid w:val="00087AF9"/>
    <w:rsid w:val="00091C88"/>
    <w:rsid w:val="00096150"/>
    <w:rsid w:val="000C0B67"/>
    <w:rsid w:val="000C55D3"/>
    <w:rsid w:val="000D22CA"/>
    <w:rsid w:val="000D36B6"/>
    <w:rsid w:val="000F5C26"/>
    <w:rsid w:val="000F5CFB"/>
    <w:rsid w:val="00100366"/>
    <w:rsid w:val="00101FC3"/>
    <w:rsid w:val="0011258A"/>
    <w:rsid w:val="0011593B"/>
    <w:rsid w:val="00116C70"/>
    <w:rsid w:val="0012176A"/>
    <w:rsid w:val="00121B7E"/>
    <w:rsid w:val="00122F62"/>
    <w:rsid w:val="00127544"/>
    <w:rsid w:val="00140667"/>
    <w:rsid w:val="001446B2"/>
    <w:rsid w:val="00147967"/>
    <w:rsid w:val="00155F11"/>
    <w:rsid w:val="00170639"/>
    <w:rsid w:val="001741FF"/>
    <w:rsid w:val="0019083A"/>
    <w:rsid w:val="001956C5"/>
    <w:rsid w:val="00197071"/>
    <w:rsid w:val="001A41FD"/>
    <w:rsid w:val="001B2DDA"/>
    <w:rsid w:val="001B40E7"/>
    <w:rsid w:val="001B6DDE"/>
    <w:rsid w:val="001C3D78"/>
    <w:rsid w:val="001C4775"/>
    <w:rsid w:val="001C752D"/>
    <w:rsid w:val="001C7816"/>
    <w:rsid w:val="001E015D"/>
    <w:rsid w:val="001F3C7B"/>
    <w:rsid w:val="001F604A"/>
    <w:rsid w:val="00200BC8"/>
    <w:rsid w:val="0020129E"/>
    <w:rsid w:val="00204F15"/>
    <w:rsid w:val="00215599"/>
    <w:rsid w:val="002169EA"/>
    <w:rsid w:val="002256E3"/>
    <w:rsid w:val="00226761"/>
    <w:rsid w:val="00234511"/>
    <w:rsid w:val="0024107F"/>
    <w:rsid w:val="00266723"/>
    <w:rsid w:val="00266B0C"/>
    <w:rsid w:val="00275B73"/>
    <w:rsid w:val="00287731"/>
    <w:rsid w:val="002A2DEA"/>
    <w:rsid w:val="002A43E0"/>
    <w:rsid w:val="002A527E"/>
    <w:rsid w:val="002B09E5"/>
    <w:rsid w:val="002B5956"/>
    <w:rsid w:val="002C4A2B"/>
    <w:rsid w:val="002C57A9"/>
    <w:rsid w:val="002C76B2"/>
    <w:rsid w:val="002C781B"/>
    <w:rsid w:val="002D34D4"/>
    <w:rsid w:val="002D4C5E"/>
    <w:rsid w:val="002D5163"/>
    <w:rsid w:val="002D7592"/>
    <w:rsid w:val="002E5580"/>
    <w:rsid w:val="002E5863"/>
    <w:rsid w:val="002F426F"/>
    <w:rsid w:val="002F52E6"/>
    <w:rsid w:val="002F56AB"/>
    <w:rsid w:val="002F57D1"/>
    <w:rsid w:val="00321855"/>
    <w:rsid w:val="00323C86"/>
    <w:rsid w:val="00336680"/>
    <w:rsid w:val="003367CA"/>
    <w:rsid w:val="003531D1"/>
    <w:rsid w:val="00353392"/>
    <w:rsid w:val="00355C4D"/>
    <w:rsid w:val="00356D27"/>
    <w:rsid w:val="003571B6"/>
    <w:rsid w:val="00367238"/>
    <w:rsid w:val="00397E7F"/>
    <w:rsid w:val="003A51EC"/>
    <w:rsid w:val="003B7117"/>
    <w:rsid w:val="003C18E7"/>
    <w:rsid w:val="003C27AA"/>
    <w:rsid w:val="003C738C"/>
    <w:rsid w:val="003D18BE"/>
    <w:rsid w:val="003D7140"/>
    <w:rsid w:val="003E53C0"/>
    <w:rsid w:val="003F22F7"/>
    <w:rsid w:val="003F2D60"/>
    <w:rsid w:val="00401BED"/>
    <w:rsid w:val="0040244C"/>
    <w:rsid w:val="004046B5"/>
    <w:rsid w:val="0043583E"/>
    <w:rsid w:val="00443EF8"/>
    <w:rsid w:val="00444DA8"/>
    <w:rsid w:val="004505DF"/>
    <w:rsid w:val="00452AD0"/>
    <w:rsid w:val="00465D1B"/>
    <w:rsid w:val="004856C3"/>
    <w:rsid w:val="004A3F76"/>
    <w:rsid w:val="004B585E"/>
    <w:rsid w:val="004B7235"/>
    <w:rsid w:val="004C4CCD"/>
    <w:rsid w:val="004D1B31"/>
    <w:rsid w:val="004E0718"/>
    <w:rsid w:val="004E3400"/>
    <w:rsid w:val="004E589C"/>
    <w:rsid w:val="004F2ED0"/>
    <w:rsid w:val="0050439D"/>
    <w:rsid w:val="00505C75"/>
    <w:rsid w:val="00505F84"/>
    <w:rsid w:val="00526340"/>
    <w:rsid w:val="005320C5"/>
    <w:rsid w:val="00532C28"/>
    <w:rsid w:val="00536597"/>
    <w:rsid w:val="00540E0B"/>
    <w:rsid w:val="005412AC"/>
    <w:rsid w:val="00544BA5"/>
    <w:rsid w:val="005459DB"/>
    <w:rsid w:val="00546D01"/>
    <w:rsid w:val="00567725"/>
    <w:rsid w:val="00570AE4"/>
    <w:rsid w:val="00576C2C"/>
    <w:rsid w:val="00580163"/>
    <w:rsid w:val="00595311"/>
    <w:rsid w:val="005A17DB"/>
    <w:rsid w:val="005A71E5"/>
    <w:rsid w:val="005B4063"/>
    <w:rsid w:val="005B5480"/>
    <w:rsid w:val="005C1FA5"/>
    <w:rsid w:val="005C5F75"/>
    <w:rsid w:val="005D0641"/>
    <w:rsid w:val="005E253C"/>
    <w:rsid w:val="005E3ECE"/>
    <w:rsid w:val="005E7F39"/>
    <w:rsid w:val="005F28B0"/>
    <w:rsid w:val="005F2E5F"/>
    <w:rsid w:val="005F576B"/>
    <w:rsid w:val="00603F26"/>
    <w:rsid w:val="00615C01"/>
    <w:rsid w:val="00650834"/>
    <w:rsid w:val="006509DF"/>
    <w:rsid w:val="00655843"/>
    <w:rsid w:val="006738DF"/>
    <w:rsid w:val="00676430"/>
    <w:rsid w:val="006861D0"/>
    <w:rsid w:val="00687CE1"/>
    <w:rsid w:val="006961E0"/>
    <w:rsid w:val="006A577C"/>
    <w:rsid w:val="006B0703"/>
    <w:rsid w:val="006B48B6"/>
    <w:rsid w:val="006C005A"/>
    <w:rsid w:val="006C5A1B"/>
    <w:rsid w:val="006C7A07"/>
    <w:rsid w:val="006D0575"/>
    <w:rsid w:val="006D70B3"/>
    <w:rsid w:val="006E517B"/>
    <w:rsid w:val="00707283"/>
    <w:rsid w:val="007100A2"/>
    <w:rsid w:val="007224F4"/>
    <w:rsid w:val="007250D7"/>
    <w:rsid w:val="00730AD7"/>
    <w:rsid w:val="00731B17"/>
    <w:rsid w:val="00732396"/>
    <w:rsid w:val="00733011"/>
    <w:rsid w:val="00742938"/>
    <w:rsid w:val="00754C59"/>
    <w:rsid w:val="00761CCF"/>
    <w:rsid w:val="00765145"/>
    <w:rsid w:val="0076643E"/>
    <w:rsid w:val="007665D8"/>
    <w:rsid w:val="00770AF4"/>
    <w:rsid w:val="00773729"/>
    <w:rsid w:val="00785C9B"/>
    <w:rsid w:val="00790DB1"/>
    <w:rsid w:val="007A1AE5"/>
    <w:rsid w:val="007A2902"/>
    <w:rsid w:val="007B5C91"/>
    <w:rsid w:val="007D38BE"/>
    <w:rsid w:val="007E3FFF"/>
    <w:rsid w:val="00803220"/>
    <w:rsid w:val="00803EEB"/>
    <w:rsid w:val="0081118A"/>
    <w:rsid w:val="00813555"/>
    <w:rsid w:val="008206F5"/>
    <w:rsid w:val="00827261"/>
    <w:rsid w:val="00830E9D"/>
    <w:rsid w:val="00840D60"/>
    <w:rsid w:val="008411AC"/>
    <w:rsid w:val="0084534A"/>
    <w:rsid w:val="008458B7"/>
    <w:rsid w:val="00846787"/>
    <w:rsid w:val="008511AF"/>
    <w:rsid w:val="00854E69"/>
    <w:rsid w:val="008706B9"/>
    <w:rsid w:val="008808AF"/>
    <w:rsid w:val="00886494"/>
    <w:rsid w:val="00893449"/>
    <w:rsid w:val="008B55BC"/>
    <w:rsid w:val="008C7972"/>
    <w:rsid w:val="008D3077"/>
    <w:rsid w:val="008D37B0"/>
    <w:rsid w:val="008D3E21"/>
    <w:rsid w:val="008E579B"/>
    <w:rsid w:val="008E703A"/>
    <w:rsid w:val="008F138A"/>
    <w:rsid w:val="008F4312"/>
    <w:rsid w:val="008F5EAA"/>
    <w:rsid w:val="00907BCC"/>
    <w:rsid w:val="009366F7"/>
    <w:rsid w:val="00941227"/>
    <w:rsid w:val="00944622"/>
    <w:rsid w:val="00955182"/>
    <w:rsid w:val="00957D20"/>
    <w:rsid w:val="00961482"/>
    <w:rsid w:val="00961C76"/>
    <w:rsid w:val="00971D52"/>
    <w:rsid w:val="00972AC9"/>
    <w:rsid w:val="009738E5"/>
    <w:rsid w:val="00981D1B"/>
    <w:rsid w:val="0099018E"/>
    <w:rsid w:val="0099600C"/>
    <w:rsid w:val="009A3C20"/>
    <w:rsid w:val="009A5D2A"/>
    <w:rsid w:val="009B36F6"/>
    <w:rsid w:val="009B37C4"/>
    <w:rsid w:val="009B578B"/>
    <w:rsid w:val="009C33B1"/>
    <w:rsid w:val="009C42A8"/>
    <w:rsid w:val="009D4733"/>
    <w:rsid w:val="009E0A37"/>
    <w:rsid w:val="009F12F7"/>
    <w:rsid w:val="009F3F6A"/>
    <w:rsid w:val="009F4CBE"/>
    <w:rsid w:val="009F65D8"/>
    <w:rsid w:val="00A14F53"/>
    <w:rsid w:val="00A1781A"/>
    <w:rsid w:val="00A17911"/>
    <w:rsid w:val="00A208EF"/>
    <w:rsid w:val="00A20CFF"/>
    <w:rsid w:val="00A2698A"/>
    <w:rsid w:val="00A34776"/>
    <w:rsid w:val="00A3687E"/>
    <w:rsid w:val="00A42DBA"/>
    <w:rsid w:val="00A44EA8"/>
    <w:rsid w:val="00A52224"/>
    <w:rsid w:val="00A62A47"/>
    <w:rsid w:val="00A6793A"/>
    <w:rsid w:val="00A70CF9"/>
    <w:rsid w:val="00A71C44"/>
    <w:rsid w:val="00A80018"/>
    <w:rsid w:val="00A87375"/>
    <w:rsid w:val="00A87B99"/>
    <w:rsid w:val="00A87CE9"/>
    <w:rsid w:val="00A975E4"/>
    <w:rsid w:val="00AA26AD"/>
    <w:rsid w:val="00AA3B44"/>
    <w:rsid w:val="00AB4475"/>
    <w:rsid w:val="00AB4853"/>
    <w:rsid w:val="00AC477B"/>
    <w:rsid w:val="00AC6C15"/>
    <w:rsid w:val="00AD47C2"/>
    <w:rsid w:val="00AE4564"/>
    <w:rsid w:val="00AF2DA5"/>
    <w:rsid w:val="00B057EE"/>
    <w:rsid w:val="00B11BF0"/>
    <w:rsid w:val="00B14E99"/>
    <w:rsid w:val="00B255EC"/>
    <w:rsid w:val="00B26252"/>
    <w:rsid w:val="00B32193"/>
    <w:rsid w:val="00B34AED"/>
    <w:rsid w:val="00B42BC7"/>
    <w:rsid w:val="00B45557"/>
    <w:rsid w:val="00B5044F"/>
    <w:rsid w:val="00B54525"/>
    <w:rsid w:val="00B56473"/>
    <w:rsid w:val="00B56C12"/>
    <w:rsid w:val="00B64295"/>
    <w:rsid w:val="00B64441"/>
    <w:rsid w:val="00B739B9"/>
    <w:rsid w:val="00B83A3E"/>
    <w:rsid w:val="00B84F9A"/>
    <w:rsid w:val="00BA0D3B"/>
    <w:rsid w:val="00BB55D5"/>
    <w:rsid w:val="00BB6546"/>
    <w:rsid w:val="00BC3506"/>
    <w:rsid w:val="00BC54CF"/>
    <w:rsid w:val="00BD2002"/>
    <w:rsid w:val="00BD775E"/>
    <w:rsid w:val="00BE34F7"/>
    <w:rsid w:val="00BE479C"/>
    <w:rsid w:val="00C003B2"/>
    <w:rsid w:val="00C02F56"/>
    <w:rsid w:val="00C1676D"/>
    <w:rsid w:val="00C2210A"/>
    <w:rsid w:val="00C34C8B"/>
    <w:rsid w:val="00C367D4"/>
    <w:rsid w:val="00C44538"/>
    <w:rsid w:val="00C45587"/>
    <w:rsid w:val="00C54666"/>
    <w:rsid w:val="00C54E01"/>
    <w:rsid w:val="00C628CD"/>
    <w:rsid w:val="00C6423B"/>
    <w:rsid w:val="00C670DC"/>
    <w:rsid w:val="00C75471"/>
    <w:rsid w:val="00C771CA"/>
    <w:rsid w:val="00C81320"/>
    <w:rsid w:val="00C842B9"/>
    <w:rsid w:val="00C95118"/>
    <w:rsid w:val="00CA18BB"/>
    <w:rsid w:val="00CA417A"/>
    <w:rsid w:val="00CB0E9A"/>
    <w:rsid w:val="00CB21EB"/>
    <w:rsid w:val="00CB2474"/>
    <w:rsid w:val="00CB4C8B"/>
    <w:rsid w:val="00CB6D50"/>
    <w:rsid w:val="00CD273D"/>
    <w:rsid w:val="00CD5060"/>
    <w:rsid w:val="00CE0FD5"/>
    <w:rsid w:val="00CF0450"/>
    <w:rsid w:val="00CF3983"/>
    <w:rsid w:val="00D01B35"/>
    <w:rsid w:val="00D01E88"/>
    <w:rsid w:val="00D0707E"/>
    <w:rsid w:val="00D12DF5"/>
    <w:rsid w:val="00D17CA2"/>
    <w:rsid w:val="00D23C99"/>
    <w:rsid w:val="00D378A1"/>
    <w:rsid w:val="00D402B2"/>
    <w:rsid w:val="00D54C50"/>
    <w:rsid w:val="00D57B73"/>
    <w:rsid w:val="00D604D1"/>
    <w:rsid w:val="00D82901"/>
    <w:rsid w:val="00D84576"/>
    <w:rsid w:val="00D85840"/>
    <w:rsid w:val="00D87104"/>
    <w:rsid w:val="00DA288F"/>
    <w:rsid w:val="00DA31EE"/>
    <w:rsid w:val="00DA7A67"/>
    <w:rsid w:val="00DB0EEA"/>
    <w:rsid w:val="00DB2684"/>
    <w:rsid w:val="00DB7C1A"/>
    <w:rsid w:val="00DC2670"/>
    <w:rsid w:val="00DC2EC5"/>
    <w:rsid w:val="00DC395A"/>
    <w:rsid w:val="00DC5C55"/>
    <w:rsid w:val="00DC77F9"/>
    <w:rsid w:val="00DE5ABE"/>
    <w:rsid w:val="00DF20EA"/>
    <w:rsid w:val="00DF2CD5"/>
    <w:rsid w:val="00E0269A"/>
    <w:rsid w:val="00E10A22"/>
    <w:rsid w:val="00E16663"/>
    <w:rsid w:val="00E23E1C"/>
    <w:rsid w:val="00E247E1"/>
    <w:rsid w:val="00E24C94"/>
    <w:rsid w:val="00E3657F"/>
    <w:rsid w:val="00E4474A"/>
    <w:rsid w:val="00E55183"/>
    <w:rsid w:val="00E5691D"/>
    <w:rsid w:val="00E70E1A"/>
    <w:rsid w:val="00E73A4C"/>
    <w:rsid w:val="00E81D4B"/>
    <w:rsid w:val="00E9051E"/>
    <w:rsid w:val="00EA5D82"/>
    <w:rsid w:val="00EB5B40"/>
    <w:rsid w:val="00EC40B9"/>
    <w:rsid w:val="00ED2404"/>
    <w:rsid w:val="00EF4436"/>
    <w:rsid w:val="00F01612"/>
    <w:rsid w:val="00F01C56"/>
    <w:rsid w:val="00F039DA"/>
    <w:rsid w:val="00F04985"/>
    <w:rsid w:val="00F23918"/>
    <w:rsid w:val="00F2785A"/>
    <w:rsid w:val="00F36F2F"/>
    <w:rsid w:val="00F43EDA"/>
    <w:rsid w:val="00F44E6B"/>
    <w:rsid w:val="00F463F5"/>
    <w:rsid w:val="00F4785B"/>
    <w:rsid w:val="00F51B25"/>
    <w:rsid w:val="00F5374D"/>
    <w:rsid w:val="00F56231"/>
    <w:rsid w:val="00F71731"/>
    <w:rsid w:val="00F73160"/>
    <w:rsid w:val="00F7374E"/>
    <w:rsid w:val="00F77306"/>
    <w:rsid w:val="00F8027F"/>
    <w:rsid w:val="00F8090C"/>
    <w:rsid w:val="00F85234"/>
    <w:rsid w:val="00FA1AD9"/>
    <w:rsid w:val="00FA241E"/>
    <w:rsid w:val="00FB0D9B"/>
    <w:rsid w:val="00FB50EE"/>
    <w:rsid w:val="00FD0667"/>
    <w:rsid w:val="00FD3596"/>
    <w:rsid w:val="00FE1994"/>
    <w:rsid w:val="00FF56E1"/>
    <w:rsid w:val="00FF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76"/>
  </w:style>
  <w:style w:type="paragraph" w:styleId="Ttulo1">
    <w:name w:val="heading 1"/>
    <w:basedOn w:val="Normal"/>
    <w:link w:val="Ttulo1Car"/>
    <w:uiPriority w:val="9"/>
    <w:qFormat/>
    <w:rsid w:val="00087AF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C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B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F43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366"/>
  </w:style>
  <w:style w:type="paragraph" w:styleId="Piedepgina">
    <w:name w:val="footer"/>
    <w:basedOn w:val="Normal"/>
    <w:link w:val="Piedepgina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366"/>
  </w:style>
  <w:style w:type="character" w:customStyle="1" w:styleId="Ttulo1Car">
    <w:name w:val="Título 1 Car"/>
    <w:basedOn w:val="Fuentedeprrafopredeter"/>
    <w:link w:val="Ttulo1"/>
    <w:uiPriority w:val="9"/>
    <w:rsid w:val="00087AF9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22C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7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8">
    <w:name w:val="s8"/>
    <w:basedOn w:val="Normal"/>
    <w:rsid w:val="003A51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s7">
    <w:name w:val="s7"/>
    <w:basedOn w:val="Fuentedeprrafopredeter"/>
    <w:rsid w:val="003A51E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26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4E0F-134F-4E2B-92B8-7CE34B8D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LA. Artiz Cohen</dc:creator>
  <cp:lastModifiedBy>Belen</cp:lastModifiedBy>
  <cp:revision>2</cp:revision>
  <cp:lastPrinted>2020-03-04T10:41:00Z</cp:lastPrinted>
  <dcterms:created xsi:type="dcterms:W3CDTF">2020-05-06T09:19:00Z</dcterms:created>
  <dcterms:modified xsi:type="dcterms:W3CDTF">2020-05-06T09:19:00Z</dcterms:modified>
</cp:coreProperties>
</file>