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3B" w:rsidRDefault="0047433B" w:rsidP="009618AB">
      <w:pPr>
        <w:ind w:firstLine="0"/>
        <w:rPr>
          <w:b/>
          <w:bCs/>
        </w:rPr>
      </w:pPr>
      <w:bookmarkStart w:id="0" w:name="_GoBack"/>
      <w:bookmarkEnd w:id="0"/>
    </w:p>
    <w:p w:rsidR="00310D12" w:rsidRDefault="00310D12" w:rsidP="00F80153">
      <w:pPr>
        <w:ind w:firstLine="0"/>
        <w:jc w:val="center"/>
        <w:rPr>
          <w:rFonts w:asciiTheme="minorHAnsi" w:hAnsiTheme="minorHAnsi"/>
          <w:b/>
          <w:bCs/>
        </w:rPr>
      </w:pPr>
    </w:p>
    <w:p w:rsidR="00F80153" w:rsidRPr="00B63C6D" w:rsidRDefault="00F80153" w:rsidP="006C706E">
      <w:pPr>
        <w:spacing w:line="276" w:lineRule="auto"/>
        <w:ind w:firstLine="0"/>
        <w:jc w:val="center"/>
        <w:rPr>
          <w:rFonts w:asciiTheme="minorHAnsi" w:hAnsiTheme="minorHAnsi"/>
          <w:b/>
          <w:bCs/>
        </w:rPr>
      </w:pPr>
      <w:r w:rsidRPr="00B63C6D">
        <w:rPr>
          <w:rFonts w:asciiTheme="minorHAnsi" w:hAnsiTheme="minorHAnsi"/>
          <w:b/>
          <w:bCs/>
        </w:rPr>
        <w:t>FICHA DE INSCRIPCIÓN</w:t>
      </w:r>
    </w:p>
    <w:p w:rsidR="00F80153" w:rsidRDefault="00F80153" w:rsidP="006C706E">
      <w:pPr>
        <w:spacing w:line="276" w:lineRule="auto"/>
        <w:ind w:firstLine="0"/>
        <w:jc w:val="center"/>
        <w:rPr>
          <w:rFonts w:asciiTheme="minorHAnsi" w:hAnsiTheme="minorHAnsi"/>
          <w:b/>
          <w:bCs/>
        </w:rPr>
      </w:pPr>
      <w:r>
        <w:rPr>
          <w:rFonts w:asciiTheme="minorHAnsi" w:hAnsiTheme="minorHAnsi"/>
          <w:b/>
          <w:bCs/>
        </w:rPr>
        <w:t xml:space="preserve">FERIA </w:t>
      </w:r>
      <w:r w:rsidR="00436AFB">
        <w:rPr>
          <w:rFonts w:asciiTheme="minorHAnsi" w:hAnsiTheme="minorHAnsi"/>
          <w:b/>
          <w:bCs/>
        </w:rPr>
        <w:t>ESEF</w:t>
      </w:r>
    </w:p>
    <w:p w:rsidR="00F80153" w:rsidRPr="00B63C6D" w:rsidRDefault="00F80153" w:rsidP="006C706E">
      <w:pPr>
        <w:spacing w:line="276" w:lineRule="auto"/>
        <w:ind w:firstLine="0"/>
        <w:jc w:val="center"/>
        <w:rPr>
          <w:rFonts w:asciiTheme="minorHAnsi" w:hAnsiTheme="minorHAnsi"/>
          <w:b/>
          <w:bCs/>
        </w:rPr>
      </w:pPr>
      <w:r>
        <w:rPr>
          <w:rFonts w:asciiTheme="minorHAnsi" w:hAnsiTheme="minorHAnsi"/>
          <w:b/>
          <w:bCs/>
        </w:rPr>
        <w:t xml:space="preserve"> </w:t>
      </w:r>
      <w:r w:rsidR="00436AFB">
        <w:rPr>
          <w:rFonts w:asciiTheme="minorHAnsi" w:hAnsiTheme="minorHAnsi"/>
          <w:b/>
          <w:bCs/>
        </w:rPr>
        <w:t>Utrecht</w:t>
      </w:r>
      <w:r w:rsidRPr="00B63C6D">
        <w:rPr>
          <w:rFonts w:asciiTheme="minorHAnsi" w:hAnsiTheme="minorHAnsi"/>
          <w:b/>
          <w:bCs/>
        </w:rPr>
        <w:t xml:space="preserve">, </w:t>
      </w:r>
      <w:r w:rsidR="00927360">
        <w:rPr>
          <w:rFonts w:asciiTheme="minorHAnsi" w:hAnsiTheme="minorHAnsi"/>
          <w:b/>
          <w:bCs/>
        </w:rPr>
        <w:t>20-23 marzo 2018</w:t>
      </w:r>
    </w:p>
    <w:p w:rsidR="00F80153" w:rsidRPr="006C706E" w:rsidRDefault="00F80153" w:rsidP="00F80153">
      <w:pPr>
        <w:spacing w:before="120"/>
        <w:ind w:firstLine="0"/>
        <w:jc w:val="center"/>
        <w:rPr>
          <w:sz w:val="22"/>
          <w:szCs w:val="22"/>
        </w:rPr>
      </w:pPr>
      <w:r w:rsidRPr="006C706E">
        <w:rPr>
          <w:b/>
          <w:bCs/>
          <w:sz w:val="22"/>
          <w:szCs w:val="22"/>
        </w:rPr>
        <w:t>Enviar una vez cumplimentada al e-mail:</w:t>
      </w:r>
      <w:r w:rsidR="00927360">
        <w:rPr>
          <w:b/>
          <w:bCs/>
          <w:sz w:val="22"/>
          <w:szCs w:val="22"/>
        </w:rPr>
        <w:t xml:space="preserve"> industria@camaradealava.com</w:t>
      </w:r>
      <w:r w:rsidR="00927360" w:rsidRPr="006C706E">
        <w:rPr>
          <w:sz w:val="22"/>
          <w:szCs w:val="22"/>
        </w:rPr>
        <w:t xml:space="preserve"> </w:t>
      </w:r>
    </w:p>
    <w:p w:rsidR="00F80153" w:rsidRDefault="00F80153" w:rsidP="00F80153">
      <w:pPr>
        <w:ind w:firstLine="0"/>
        <w:rPr>
          <w:b/>
          <w:bCs/>
        </w:rPr>
      </w:pPr>
    </w:p>
    <w:p w:rsidR="00F80153" w:rsidRDefault="00F80153" w:rsidP="009618AB">
      <w:pPr>
        <w:ind w:firstLine="0"/>
        <w:rPr>
          <w:b/>
          <w:bCs/>
        </w:rPr>
      </w:pPr>
    </w:p>
    <w:p w:rsidR="0047433B" w:rsidRPr="00310D12" w:rsidRDefault="0047433B" w:rsidP="0047433B">
      <w:pPr>
        <w:pStyle w:val="Sinespaciado"/>
        <w:jc w:val="both"/>
        <w:rPr>
          <w:rFonts w:cs="Times New Roman"/>
          <w:sz w:val="24"/>
          <w:szCs w:val="24"/>
        </w:rPr>
      </w:pPr>
      <w:r w:rsidRPr="00310D12">
        <w:rPr>
          <w:rFonts w:cs="Times New Roman"/>
          <w:sz w:val="24"/>
          <w:szCs w:val="24"/>
        </w:rPr>
        <w:t>Las empresas que participen en la feria por su cuenta y que soliciten a Cámara</w:t>
      </w:r>
      <w:r w:rsidR="00F80153" w:rsidRPr="00310D12">
        <w:rPr>
          <w:rFonts w:cs="Times New Roman"/>
          <w:sz w:val="24"/>
          <w:szCs w:val="24"/>
        </w:rPr>
        <w:t xml:space="preserve"> de </w:t>
      </w:r>
      <w:r w:rsidR="00B57932">
        <w:rPr>
          <w:rFonts w:cs="Times New Roman"/>
          <w:sz w:val="24"/>
          <w:szCs w:val="24"/>
        </w:rPr>
        <w:t>España y Cámara de Á</w:t>
      </w:r>
      <w:r w:rsidR="00927360">
        <w:rPr>
          <w:rFonts w:cs="Times New Roman"/>
          <w:sz w:val="24"/>
          <w:szCs w:val="24"/>
        </w:rPr>
        <w:t>lava</w:t>
      </w:r>
      <w:r w:rsidRPr="00310D12">
        <w:rPr>
          <w:rFonts w:cs="Times New Roman"/>
          <w:sz w:val="24"/>
          <w:szCs w:val="24"/>
        </w:rPr>
        <w:t xml:space="preserve"> la gestión de la ayuda del ICEX, deberán remitir</w:t>
      </w:r>
      <w:r w:rsidR="00310D12">
        <w:rPr>
          <w:rFonts w:cs="Times New Roman"/>
          <w:sz w:val="24"/>
          <w:szCs w:val="24"/>
        </w:rPr>
        <w:t xml:space="preserve"> a la Cámara </w:t>
      </w:r>
      <w:r w:rsidR="00310D12" w:rsidRPr="00310D12">
        <w:rPr>
          <w:rFonts w:cs="Times New Roman"/>
          <w:sz w:val="24"/>
          <w:szCs w:val="24"/>
        </w:rPr>
        <w:t>esta</w:t>
      </w:r>
      <w:r w:rsidRPr="00310D12">
        <w:rPr>
          <w:rFonts w:cs="Times New Roman"/>
          <w:sz w:val="24"/>
          <w:szCs w:val="24"/>
        </w:rPr>
        <w:t xml:space="preserve"> ficha junto con el contrato de participación y justificante de pago a la feria.</w:t>
      </w:r>
    </w:p>
    <w:p w:rsidR="0047433B" w:rsidRPr="00310D12" w:rsidRDefault="0047433B" w:rsidP="0047433B">
      <w:pPr>
        <w:pStyle w:val="Sinespaciado"/>
        <w:jc w:val="both"/>
        <w:rPr>
          <w:rFonts w:cs="Times New Roman"/>
          <w:sz w:val="24"/>
          <w:szCs w:val="24"/>
        </w:rPr>
      </w:pPr>
    </w:p>
    <w:p w:rsidR="00310D12" w:rsidRPr="00310D12" w:rsidRDefault="0047433B" w:rsidP="0047433B">
      <w:pPr>
        <w:pStyle w:val="Sinespaciado"/>
        <w:jc w:val="both"/>
        <w:rPr>
          <w:rFonts w:cs="Times New Roman"/>
        </w:rPr>
      </w:pPr>
      <w:r w:rsidRPr="00310D12">
        <w:rPr>
          <w:rFonts w:cs="Times New Roman"/>
          <w:sz w:val="24"/>
          <w:szCs w:val="24"/>
        </w:rPr>
        <w:t xml:space="preserve">Los gastos de gestión de </w:t>
      </w:r>
      <w:r w:rsidR="00310D12">
        <w:rPr>
          <w:rFonts w:cs="Times New Roman"/>
          <w:sz w:val="24"/>
          <w:szCs w:val="24"/>
        </w:rPr>
        <w:t>la a</w:t>
      </w:r>
      <w:r w:rsidRPr="00310D12">
        <w:rPr>
          <w:rFonts w:cs="Times New Roman"/>
          <w:sz w:val="24"/>
          <w:szCs w:val="24"/>
        </w:rPr>
        <w:t>yuda ascenderán al 15% de la ayuda final concedida</w:t>
      </w:r>
      <w:r w:rsidR="00310D12">
        <w:rPr>
          <w:rFonts w:cs="Times New Roman"/>
          <w:sz w:val="24"/>
          <w:szCs w:val="24"/>
        </w:rPr>
        <w:t xml:space="preserve"> por ICEX</w:t>
      </w:r>
      <w:r w:rsidRPr="00310D12">
        <w:rPr>
          <w:rFonts w:cs="Times New Roman"/>
          <w:sz w:val="24"/>
          <w:szCs w:val="24"/>
        </w:rPr>
        <w:t xml:space="preserve">. Estos gastos de gestión se cobrarán </w:t>
      </w:r>
      <w:r w:rsidR="00310D12">
        <w:rPr>
          <w:rFonts w:cs="Times New Roman"/>
          <w:sz w:val="24"/>
          <w:szCs w:val="24"/>
        </w:rPr>
        <w:t>tras la liquidación de la ayuda</w:t>
      </w:r>
      <w:r w:rsidRPr="00310D12">
        <w:rPr>
          <w:rFonts w:cs="Times New Roman"/>
          <w:sz w:val="24"/>
          <w:szCs w:val="24"/>
        </w:rPr>
        <w:t>.</w:t>
      </w:r>
      <w:r w:rsidR="00842D89" w:rsidRPr="00842D89">
        <w:rPr>
          <w:rFonts w:cs="Times New Roman"/>
          <w:color w:val="FF0000"/>
          <w:sz w:val="24"/>
          <w:szCs w:val="24"/>
        </w:rPr>
        <w:t xml:space="preserve"> </w:t>
      </w:r>
      <w:r w:rsidR="00021B1B" w:rsidRPr="0026165B">
        <w:rPr>
          <w:rFonts w:cs="Times New Roman"/>
          <w:sz w:val="24"/>
          <w:szCs w:val="24"/>
        </w:rPr>
        <w:t>Dichos gastos de gestión son los mismos tanto para las empresas asociadas como para las no asociadas.</w:t>
      </w:r>
      <w:r w:rsidR="00021B1B" w:rsidRPr="0026165B">
        <w:rPr>
          <w:rFonts w:cs="Times New Roman"/>
        </w:rPr>
        <w:t xml:space="preserve"> </w:t>
      </w:r>
    </w:p>
    <w:p w:rsidR="0047433B" w:rsidRDefault="0047433B" w:rsidP="009618AB">
      <w:pPr>
        <w:ind w:firstLine="0"/>
        <w:rPr>
          <w:b/>
          <w:bCs/>
          <w:sz w:val="22"/>
          <w:szCs w:val="22"/>
          <w:lang w:val="es-ES"/>
        </w:rPr>
      </w:pPr>
    </w:p>
    <w:p w:rsidR="008F3A4E" w:rsidRPr="00C875F7" w:rsidRDefault="008F3A4E" w:rsidP="009618AB">
      <w:pPr>
        <w:ind w:firstLine="0"/>
        <w:rPr>
          <w:b/>
          <w:bCs/>
          <w:sz w:val="22"/>
          <w:szCs w:val="22"/>
          <w:lang w:val="es-ES"/>
        </w:rPr>
      </w:pPr>
    </w:p>
    <w:p w:rsidR="00310D12" w:rsidRPr="00B63C6D" w:rsidRDefault="00310D12" w:rsidP="00310D12">
      <w:pPr>
        <w:ind w:firstLine="0"/>
        <w:rPr>
          <w:rFonts w:asciiTheme="minorHAnsi" w:hAnsiTheme="minorHAnsi"/>
          <w:b/>
          <w:bCs/>
          <w:u w:val="single"/>
        </w:rPr>
      </w:pPr>
      <w:r w:rsidRPr="00B63C6D">
        <w:rPr>
          <w:rFonts w:asciiTheme="minorHAnsi" w:hAnsiTheme="minorHAnsi"/>
          <w:b/>
          <w:bCs/>
          <w:u w:val="single"/>
        </w:rPr>
        <w:t>1.- DATOS DE LA EMPRESA</w:t>
      </w:r>
    </w:p>
    <w:p w:rsidR="00310D12" w:rsidRDefault="00310D12" w:rsidP="00310D12">
      <w:pPr>
        <w:ind w:firstLine="0"/>
        <w:rPr>
          <w:b/>
          <w:bCs/>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40"/>
      </w:tblGrid>
      <w:tr w:rsidR="00310D12" w:rsidTr="003164F9">
        <w:tc>
          <w:tcPr>
            <w:tcW w:w="5070" w:type="dxa"/>
          </w:tcPr>
          <w:p w:rsidR="00310D12" w:rsidRPr="00DC7E04" w:rsidRDefault="00310D12" w:rsidP="003164F9">
            <w:pPr>
              <w:ind w:firstLine="0"/>
              <w:rPr>
                <w:bCs/>
              </w:rPr>
            </w:pPr>
            <w:r w:rsidRPr="00DC7E04">
              <w:rPr>
                <w:bCs/>
              </w:rPr>
              <w:t xml:space="preserve">Empresa: </w:t>
            </w:r>
          </w:p>
        </w:tc>
        <w:tc>
          <w:tcPr>
            <w:tcW w:w="4140" w:type="dxa"/>
          </w:tcPr>
          <w:p w:rsidR="00310D12" w:rsidRPr="00DC7E04" w:rsidRDefault="00310D12" w:rsidP="003164F9">
            <w:pPr>
              <w:ind w:firstLine="0"/>
              <w:rPr>
                <w:bCs/>
              </w:rPr>
            </w:pPr>
            <w:r w:rsidRPr="00DC7E04">
              <w:rPr>
                <w:bCs/>
              </w:rPr>
              <w:t>N.I.F.:</w:t>
            </w:r>
          </w:p>
        </w:tc>
      </w:tr>
      <w:tr w:rsidR="00310D12" w:rsidTr="003164F9">
        <w:tc>
          <w:tcPr>
            <w:tcW w:w="5070" w:type="dxa"/>
          </w:tcPr>
          <w:p w:rsidR="00310D12" w:rsidRPr="00DC7E04" w:rsidRDefault="00310D12" w:rsidP="003164F9">
            <w:pPr>
              <w:ind w:firstLine="0"/>
              <w:rPr>
                <w:bCs/>
              </w:rPr>
            </w:pPr>
            <w:r w:rsidRPr="00DC7E04">
              <w:rPr>
                <w:bCs/>
              </w:rPr>
              <w:t>Persona de contacto:</w:t>
            </w:r>
          </w:p>
        </w:tc>
        <w:tc>
          <w:tcPr>
            <w:tcW w:w="4140" w:type="dxa"/>
          </w:tcPr>
          <w:p w:rsidR="00310D12" w:rsidRPr="00DC7E04" w:rsidRDefault="00310D12" w:rsidP="003164F9">
            <w:pPr>
              <w:ind w:firstLine="0"/>
              <w:rPr>
                <w:bCs/>
              </w:rPr>
            </w:pPr>
            <w:r w:rsidRPr="00DC7E04">
              <w:rPr>
                <w:bCs/>
              </w:rPr>
              <w:t>Cargo:</w:t>
            </w:r>
          </w:p>
        </w:tc>
      </w:tr>
      <w:tr w:rsidR="00310D12" w:rsidTr="003164F9">
        <w:tc>
          <w:tcPr>
            <w:tcW w:w="5070" w:type="dxa"/>
          </w:tcPr>
          <w:p w:rsidR="00310D12" w:rsidRPr="00DC7E04" w:rsidRDefault="00310D12" w:rsidP="003164F9">
            <w:pPr>
              <w:ind w:firstLine="0"/>
              <w:rPr>
                <w:bCs/>
              </w:rPr>
            </w:pPr>
            <w:r w:rsidRPr="00DC7E04">
              <w:rPr>
                <w:bCs/>
              </w:rPr>
              <w:t>Dirección:</w:t>
            </w:r>
          </w:p>
        </w:tc>
        <w:tc>
          <w:tcPr>
            <w:tcW w:w="4140" w:type="dxa"/>
          </w:tcPr>
          <w:p w:rsidR="00310D12" w:rsidRPr="00DC7E04" w:rsidRDefault="00310D12" w:rsidP="003164F9">
            <w:pPr>
              <w:ind w:firstLine="0"/>
              <w:rPr>
                <w:bCs/>
              </w:rPr>
            </w:pPr>
            <w:r w:rsidRPr="00DC7E04">
              <w:rPr>
                <w:bCs/>
              </w:rPr>
              <w:t>Municipio:</w:t>
            </w:r>
          </w:p>
        </w:tc>
      </w:tr>
      <w:tr w:rsidR="00310D12" w:rsidTr="003164F9">
        <w:tc>
          <w:tcPr>
            <w:tcW w:w="5070" w:type="dxa"/>
          </w:tcPr>
          <w:p w:rsidR="00310D12" w:rsidRPr="00DC7E04" w:rsidRDefault="00310D12" w:rsidP="003164F9">
            <w:pPr>
              <w:ind w:firstLine="0"/>
              <w:rPr>
                <w:bCs/>
              </w:rPr>
            </w:pPr>
            <w:r w:rsidRPr="00DC7E04">
              <w:rPr>
                <w:bCs/>
              </w:rPr>
              <w:t>Código postal:</w:t>
            </w:r>
          </w:p>
        </w:tc>
        <w:tc>
          <w:tcPr>
            <w:tcW w:w="4140" w:type="dxa"/>
          </w:tcPr>
          <w:p w:rsidR="00310D12" w:rsidRPr="00DC7E04" w:rsidRDefault="00310D12" w:rsidP="003164F9">
            <w:pPr>
              <w:ind w:firstLine="0"/>
              <w:rPr>
                <w:bCs/>
              </w:rPr>
            </w:pPr>
            <w:r w:rsidRPr="00DC7E04">
              <w:rPr>
                <w:bCs/>
              </w:rPr>
              <w:t>Teléfono:</w:t>
            </w:r>
          </w:p>
        </w:tc>
      </w:tr>
      <w:tr w:rsidR="00310D12" w:rsidTr="003164F9">
        <w:tc>
          <w:tcPr>
            <w:tcW w:w="9210" w:type="dxa"/>
            <w:gridSpan w:val="2"/>
          </w:tcPr>
          <w:p w:rsidR="00310D12" w:rsidRPr="00DC7E04" w:rsidRDefault="00310D12" w:rsidP="003164F9">
            <w:pPr>
              <w:ind w:firstLine="0"/>
              <w:rPr>
                <w:bCs/>
              </w:rPr>
            </w:pPr>
            <w:r w:rsidRPr="00DC7E04">
              <w:rPr>
                <w:bCs/>
              </w:rPr>
              <w:t>E-mail</w:t>
            </w:r>
            <w:r>
              <w:rPr>
                <w:bCs/>
              </w:rPr>
              <w:t xml:space="preserve"> para comunicaciones:</w:t>
            </w:r>
          </w:p>
        </w:tc>
      </w:tr>
    </w:tbl>
    <w:p w:rsidR="00C875F7" w:rsidRDefault="00C875F7" w:rsidP="009618AB">
      <w:pPr>
        <w:ind w:firstLine="0"/>
        <w:rPr>
          <w:b/>
          <w:bCs/>
          <w:lang w:val="es-ES"/>
        </w:rPr>
      </w:pPr>
    </w:p>
    <w:p w:rsidR="00310D12" w:rsidRDefault="00310D12" w:rsidP="009618AB">
      <w:pPr>
        <w:ind w:firstLine="0"/>
        <w:rPr>
          <w:b/>
          <w:bCs/>
          <w:lang w:val="es-ES"/>
        </w:rPr>
      </w:pPr>
    </w:p>
    <w:p w:rsidR="00310D12" w:rsidRDefault="00310D12" w:rsidP="00310D12">
      <w:pPr>
        <w:ind w:firstLine="0"/>
        <w:rPr>
          <w:rFonts w:asciiTheme="minorHAnsi" w:hAnsiTheme="minorHAnsi"/>
          <w:b/>
          <w:bCs/>
          <w:u w:val="single"/>
        </w:rPr>
      </w:pPr>
      <w:r w:rsidRPr="00B63C6D">
        <w:rPr>
          <w:rFonts w:asciiTheme="minorHAnsi" w:hAnsiTheme="minorHAnsi"/>
          <w:b/>
          <w:bCs/>
          <w:u w:val="single"/>
        </w:rPr>
        <w:t>2.- MODALIDAD DE PARTICIPACI</w:t>
      </w:r>
      <w:r>
        <w:rPr>
          <w:rFonts w:asciiTheme="minorHAnsi" w:hAnsiTheme="minorHAnsi"/>
          <w:b/>
          <w:bCs/>
          <w:u w:val="single"/>
        </w:rPr>
        <w:t>Ó</w:t>
      </w:r>
      <w:r w:rsidRPr="00B63C6D">
        <w:rPr>
          <w:rFonts w:asciiTheme="minorHAnsi" w:hAnsiTheme="minorHAnsi"/>
          <w:b/>
          <w:bCs/>
          <w:u w:val="single"/>
        </w:rPr>
        <w:t xml:space="preserve">N </w:t>
      </w:r>
    </w:p>
    <w:p w:rsidR="00310D12" w:rsidRDefault="00310D12" w:rsidP="009618AB">
      <w:pPr>
        <w:ind w:firstLine="0"/>
        <w:rPr>
          <w:b/>
          <w:bCs/>
          <w:lang w:val="es-ES"/>
        </w:rPr>
      </w:pPr>
    </w:p>
    <w:p w:rsidR="00C875F7" w:rsidRDefault="00C875F7" w:rsidP="006C706E">
      <w:pPr>
        <w:ind w:firstLine="0"/>
        <w:jc w:val="center"/>
        <w:rPr>
          <w:b/>
          <w:bCs/>
          <w:u w:val="single"/>
        </w:rPr>
      </w:pPr>
    </w:p>
    <w:tbl>
      <w:tblPr>
        <w:tblW w:w="7655" w:type="dxa"/>
        <w:tblInd w:w="71" w:type="dxa"/>
        <w:tblLayout w:type="fixed"/>
        <w:tblCellMar>
          <w:left w:w="71" w:type="dxa"/>
          <w:right w:w="71" w:type="dxa"/>
        </w:tblCellMar>
        <w:tblLook w:val="0000" w:firstRow="0" w:lastRow="0" w:firstColumn="0" w:lastColumn="0" w:noHBand="0" w:noVBand="0"/>
      </w:tblPr>
      <w:tblGrid>
        <w:gridCol w:w="4111"/>
        <w:gridCol w:w="3544"/>
      </w:tblGrid>
      <w:tr w:rsidR="00C875F7" w:rsidTr="00310D12">
        <w:tc>
          <w:tcPr>
            <w:tcW w:w="4111" w:type="dxa"/>
            <w:tcBorders>
              <w:top w:val="single" w:sz="2" w:space="0" w:color="auto"/>
              <w:left w:val="single" w:sz="6" w:space="0" w:color="auto"/>
              <w:bottom w:val="nil"/>
              <w:right w:val="single" w:sz="6" w:space="0" w:color="auto"/>
            </w:tcBorders>
            <w:shd w:val="clear" w:color="auto" w:fill="D9D9D9" w:themeFill="background1" w:themeFillShade="D9"/>
          </w:tcPr>
          <w:p w:rsidR="00C875F7" w:rsidRPr="00C875F7" w:rsidRDefault="00C875F7" w:rsidP="006C706E">
            <w:pPr>
              <w:ind w:firstLine="0"/>
              <w:jc w:val="center"/>
              <w:rPr>
                <w:b/>
                <w:bCs/>
                <w:sz w:val="22"/>
                <w:szCs w:val="22"/>
              </w:rPr>
            </w:pPr>
            <w:r w:rsidRPr="00C875F7">
              <w:rPr>
                <w:b/>
                <w:bCs/>
                <w:sz w:val="22"/>
                <w:szCs w:val="22"/>
              </w:rPr>
              <w:t>Modalidad de participación</w:t>
            </w:r>
          </w:p>
        </w:tc>
        <w:tc>
          <w:tcPr>
            <w:tcW w:w="3544" w:type="dxa"/>
            <w:tcBorders>
              <w:top w:val="single" w:sz="2" w:space="0" w:color="auto"/>
              <w:left w:val="nil"/>
              <w:bottom w:val="single" w:sz="6" w:space="0" w:color="auto"/>
              <w:right w:val="single" w:sz="6" w:space="0" w:color="auto"/>
            </w:tcBorders>
            <w:shd w:val="clear" w:color="auto" w:fill="D9D9D9" w:themeFill="background1" w:themeFillShade="D9"/>
          </w:tcPr>
          <w:p w:rsidR="00C875F7" w:rsidRPr="00310D12" w:rsidRDefault="00C875F7" w:rsidP="006C706E">
            <w:pPr>
              <w:ind w:firstLine="0"/>
              <w:jc w:val="center"/>
              <w:rPr>
                <w:b/>
                <w:sz w:val="22"/>
                <w:szCs w:val="22"/>
              </w:rPr>
            </w:pPr>
            <w:r w:rsidRPr="00310D12">
              <w:rPr>
                <w:b/>
                <w:sz w:val="22"/>
                <w:szCs w:val="22"/>
              </w:rPr>
              <w:t>Metros</w:t>
            </w:r>
          </w:p>
        </w:tc>
      </w:tr>
      <w:tr w:rsidR="00C875F7" w:rsidTr="00310D12">
        <w:trPr>
          <w:trHeight w:val="253"/>
        </w:trPr>
        <w:tc>
          <w:tcPr>
            <w:tcW w:w="4111" w:type="dxa"/>
            <w:vMerge w:val="restart"/>
            <w:tcBorders>
              <w:top w:val="single" w:sz="6" w:space="0" w:color="auto"/>
              <w:left w:val="single" w:sz="6" w:space="0" w:color="auto"/>
              <w:right w:val="single" w:sz="6" w:space="0" w:color="auto"/>
            </w:tcBorders>
            <w:vAlign w:val="center"/>
          </w:tcPr>
          <w:p w:rsidR="00C875F7" w:rsidRPr="00C875F7" w:rsidRDefault="00310D12" w:rsidP="006C706E">
            <w:pPr>
              <w:ind w:firstLine="0"/>
              <w:jc w:val="center"/>
              <w:rPr>
                <w:sz w:val="22"/>
                <w:szCs w:val="22"/>
              </w:rPr>
            </w:pPr>
            <w:r>
              <w:rPr>
                <w:sz w:val="22"/>
                <w:szCs w:val="22"/>
              </w:rPr>
              <w:t>Participación  individual</w:t>
            </w:r>
            <w:r w:rsidR="00C875F7" w:rsidRPr="00C875F7">
              <w:rPr>
                <w:sz w:val="22"/>
                <w:szCs w:val="22"/>
              </w:rPr>
              <w:t xml:space="preserve"> (opción 1.3)</w:t>
            </w:r>
          </w:p>
        </w:tc>
        <w:tc>
          <w:tcPr>
            <w:tcW w:w="3544" w:type="dxa"/>
            <w:vMerge w:val="restart"/>
            <w:tcBorders>
              <w:top w:val="nil"/>
              <w:left w:val="nil"/>
              <w:right w:val="single" w:sz="6" w:space="0" w:color="auto"/>
            </w:tcBorders>
          </w:tcPr>
          <w:p w:rsidR="00C875F7" w:rsidRPr="00C875F7" w:rsidRDefault="00C875F7" w:rsidP="006C706E">
            <w:pPr>
              <w:ind w:firstLine="0"/>
              <w:jc w:val="center"/>
              <w:rPr>
                <w:sz w:val="22"/>
                <w:szCs w:val="22"/>
              </w:rPr>
            </w:pPr>
          </w:p>
        </w:tc>
      </w:tr>
      <w:tr w:rsidR="00C875F7" w:rsidTr="00310D12">
        <w:trPr>
          <w:trHeight w:val="230"/>
        </w:trPr>
        <w:tc>
          <w:tcPr>
            <w:tcW w:w="4111" w:type="dxa"/>
            <w:vMerge/>
            <w:tcBorders>
              <w:left w:val="single" w:sz="6" w:space="0" w:color="auto"/>
              <w:right w:val="single" w:sz="6" w:space="0" w:color="auto"/>
            </w:tcBorders>
          </w:tcPr>
          <w:p w:rsidR="00C875F7" w:rsidRDefault="00C875F7" w:rsidP="006C706E">
            <w:pPr>
              <w:jc w:val="center"/>
              <w:rPr>
                <w:sz w:val="20"/>
                <w:szCs w:val="20"/>
              </w:rPr>
            </w:pPr>
          </w:p>
        </w:tc>
        <w:tc>
          <w:tcPr>
            <w:tcW w:w="3544" w:type="dxa"/>
            <w:vMerge/>
            <w:tcBorders>
              <w:left w:val="single" w:sz="6" w:space="0" w:color="auto"/>
              <w:right w:val="single" w:sz="6" w:space="0" w:color="auto"/>
            </w:tcBorders>
          </w:tcPr>
          <w:p w:rsidR="00C875F7" w:rsidRDefault="00C875F7" w:rsidP="006C706E">
            <w:pPr>
              <w:ind w:firstLine="0"/>
              <w:jc w:val="center"/>
              <w:rPr>
                <w:sz w:val="20"/>
                <w:szCs w:val="20"/>
              </w:rPr>
            </w:pPr>
          </w:p>
        </w:tc>
      </w:tr>
      <w:tr w:rsidR="00C875F7" w:rsidTr="00310D12">
        <w:trPr>
          <w:trHeight w:val="230"/>
        </w:trPr>
        <w:tc>
          <w:tcPr>
            <w:tcW w:w="4111" w:type="dxa"/>
            <w:vMerge/>
            <w:tcBorders>
              <w:left w:val="single" w:sz="6" w:space="0" w:color="auto"/>
              <w:bottom w:val="single" w:sz="4" w:space="0" w:color="auto"/>
              <w:right w:val="single" w:sz="6" w:space="0" w:color="auto"/>
            </w:tcBorders>
          </w:tcPr>
          <w:p w:rsidR="00C875F7" w:rsidRPr="00CF06B8" w:rsidRDefault="00C875F7" w:rsidP="006C706E">
            <w:pPr>
              <w:ind w:firstLine="0"/>
              <w:jc w:val="center"/>
              <w:rPr>
                <w:color w:val="FF0000"/>
                <w:sz w:val="20"/>
                <w:szCs w:val="20"/>
              </w:rPr>
            </w:pPr>
          </w:p>
        </w:tc>
        <w:tc>
          <w:tcPr>
            <w:tcW w:w="3544" w:type="dxa"/>
            <w:vMerge/>
            <w:tcBorders>
              <w:left w:val="single" w:sz="6" w:space="0" w:color="auto"/>
              <w:bottom w:val="single" w:sz="4" w:space="0" w:color="auto"/>
              <w:right w:val="single" w:sz="6" w:space="0" w:color="auto"/>
            </w:tcBorders>
          </w:tcPr>
          <w:p w:rsidR="00C875F7" w:rsidRDefault="00C875F7" w:rsidP="006C706E">
            <w:pPr>
              <w:ind w:firstLine="0"/>
              <w:jc w:val="center"/>
              <w:rPr>
                <w:sz w:val="20"/>
                <w:szCs w:val="20"/>
              </w:rPr>
            </w:pPr>
          </w:p>
        </w:tc>
      </w:tr>
      <w:tr w:rsidR="00C875F7" w:rsidTr="00310D12">
        <w:tc>
          <w:tcPr>
            <w:tcW w:w="4111" w:type="dxa"/>
            <w:tcBorders>
              <w:top w:val="nil"/>
              <w:left w:val="nil"/>
              <w:bottom w:val="nil"/>
              <w:right w:val="nil"/>
            </w:tcBorders>
          </w:tcPr>
          <w:p w:rsidR="00C875F7" w:rsidRDefault="00C875F7" w:rsidP="006C706E">
            <w:pPr>
              <w:ind w:firstLine="0"/>
              <w:jc w:val="center"/>
              <w:rPr>
                <w:sz w:val="20"/>
                <w:szCs w:val="20"/>
              </w:rPr>
            </w:pPr>
          </w:p>
        </w:tc>
        <w:tc>
          <w:tcPr>
            <w:tcW w:w="3544" w:type="dxa"/>
            <w:tcBorders>
              <w:top w:val="nil"/>
              <w:left w:val="nil"/>
              <w:bottom w:val="nil"/>
              <w:right w:val="nil"/>
            </w:tcBorders>
          </w:tcPr>
          <w:p w:rsidR="00C875F7" w:rsidRDefault="00C875F7" w:rsidP="006C706E">
            <w:pPr>
              <w:ind w:firstLine="0"/>
              <w:jc w:val="center"/>
              <w:rPr>
                <w:sz w:val="20"/>
                <w:szCs w:val="20"/>
              </w:rPr>
            </w:pPr>
          </w:p>
        </w:tc>
      </w:tr>
      <w:tr w:rsidR="00C875F7" w:rsidTr="00310D12">
        <w:tc>
          <w:tcPr>
            <w:tcW w:w="4111" w:type="dxa"/>
            <w:tcBorders>
              <w:top w:val="nil"/>
              <w:left w:val="nil"/>
              <w:bottom w:val="nil"/>
              <w:right w:val="nil"/>
            </w:tcBorders>
          </w:tcPr>
          <w:p w:rsidR="00C875F7" w:rsidRDefault="00C875F7" w:rsidP="0006553A">
            <w:pPr>
              <w:ind w:firstLine="0"/>
              <w:rPr>
                <w:sz w:val="20"/>
                <w:szCs w:val="20"/>
              </w:rPr>
            </w:pPr>
          </w:p>
        </w:tc>
        <w:tc>
          <w:tcPr>
            <w:tcW w:w="3544" w:type="dxa"/>
            <w:tcBorders>
              <w:top w:val="nil"/>
              <w:left w:val="nil"/>
              <w:bottom w:val="nil"/>
              <w:right w:val="nil"/>
            </w:tcBorders>
          </w:tcPr>
          <w:p w:rsidR="00C875F7" w:rsidRDefault="00C875F7" w:rsidP="0006553A">
            <w:pPr>
              <w:ind w:firstLine="0"/>
              <w:rPr>
                <w:sz w:val="20"/>
                <w:szCs w:val="20"/>
              </w:rPr>
            </w:pPr>
          </w:p>
        </w:tc>
      </w:tr>
    </w:tbl>
    <w:p w:rsidR="00E14373" w:rsidRDefault="00E14373" w:rsidP="009618AB">
      <w:pPr>
        <w:rPr>
          <w:b/>
          <w:bCs/>
          <w:sz w:val="20"/>
          <w:szCs w:val="20"/>
        </w:rPr>
      </w:pPr>
    </w:p>
    <w:p w:rsidR="00213473" w:rsidRDefault="00213473" w:rsidP="009618AB">
      <w:pPr>
        <w:rPr>
          <w:b/>
          <w:bCs/>
          <w:sz w:val="20"/>
          <w:szCs w:val="20"/>
        </w:rPr>
      </w:pPr>
    </w:p>
    <w:p w:rsidR="00213473" w:rsidRPr="006C706E" w:rsidRDefault="00213473" w:rsidP="009618AB">
      <w:pPr>
        <w:rPr>
          <w:b/>
          <w:bCs/>
          <w:sz w:val="22"/>
          <w:szCs w:val="22"/>
        </w:rPr>
      </w:pPr>
    </w:p>
    <w:p w:rsidR="009618AB" w:rsidRPr="006C706E" w:rsidRDefault="009618AB" w:rsidP="00E14373">
      <w:pPr>
        <w:spacing w:line="276" w:lineRule="auto"/>
        <w:rPr>
          <w:rFonts w:asciiTheme="minorHAnsi" w:hAnsiTheme="minorHAnsi"/>
          <w:b/>
          <w:bCs/>
          <w:sz w:val="22"/>
          <w:szCs w:val="22"/>
        </w:rPr>
      </w:pPr>
      <w:r w:rsidRPr="006C706E">
        <w:rPr>
          <w:rFonts w:asciiTheme="minorHAnsi" w:hAnsiTheme="minorHAnsi"/>
          <w:b/>
          <w:bCs/>
          <w:sz w:val="22"/>
          <w:szCs w:val="22"/>
        </w:rPr>
        <w:t xml:space="preserve">Fecha: </w:t>
      </w:r>
    </w:p>
    <w:p w:rsidR="00EB3DB5" w:rsidRPr="006C706E" w:rsidRDefault="009618AB" w:rsidP="00E14373">
      <w:pPr>
        <w:spacing w:line="276" w:lineRule="auto"/>
        <w:rPr>
          <w:rFonts w:asciiTheme="minorHAnsi" w:hAnsiTheme="minorHAnsi"/>
          <w:b/>
          <w:bCs/>
          <w:sz w:val="22"/>
          <w:szCs w:val="22"/>
        </w:rPr>
      </w:pPr>
      <w:r w:rsidRPr="006C706E">
        <w:rPr>
          <w:rFonts w:asciiTheme="minorHAnsi" w:hAnsiTheme="minorHAnsi"/>
          <w:b/>
          <w:bCs/>
          <w:sz w:val="22"/>
          <w:szCs w:val="22"/>
        </w:rPr>
        <w:t>Firma y sello de la empresa</w:t>
      </w:r>
      <w:r w:rsidR="00F619D6" w:rsidRPr="006C706E">
        <w:rPr>
          <w:rFonts w:asciiTheme="minorHAnsi" w:hAnsiTheme="minorHAnsi"/>
          <w:b/>
          <w:bCs/>
          <w:sz w:val="22"/>
          <w:szCs w:val="22"/>
        </w:rPr>
        <w:t>:</w:t>
      </w:r>
      <w:r w:rsidR="004451E2" w:rsidRPr="006C706E">
        <w:rPr>
          <w:rFonts w:asciiTheme="minorHAnsi" w:hAnsiTheme="minorHAnsi"/>
          <w:b/>
          <w:bCs/>
          <w:sz w:val="22"/>
          <w:szCs w:val="22"/>
        </w:rPr>
        <w:t xml:space="preserve">   </w:t>
      </w:r>
    </w:p>
    <w:p w:rsidR="009C619C" w:rsidRPr="006C706E" w:rsidRDefault="009C619C" w:rsidP="009618AB">
      <w:pPr>
        <w:rPr>
          <w:rFonts w:asciiTheme="minorHAnsi" w:hAnsiTheme="minorHAnsi"/>
          <w:b/>
          <w:bCs/>
          <w:sz w:val="22"/>
          <w:szCs w:val="22"/>
        </w:rPr>
      </w:pPr>
    </w:p>
    <w:p w:rsidR="009C619C" w:rsidRDefault="009C619C" w:rsidP="009618AB">
      <w:pPr>
        <w:rPr>
          <w:b/>
          <w:bCs/>
          <w:sz w:val="20"/>
          <w:szCs w:val="20"/>
        </w:rPr>
      </w:pPr>
    </w:p>
    <w:p w:rsidR="009C619C" w:rsidRDefault="009C619C" w:rsidP="009618AB">
      <w:pPr>
        <w:rPr>
          <w:b/>
          <w:bCs/>
          <w:sz w:val="20"/>
          <w:szCs w:val="20"/>
        </w:rPr>
      </w:pPr>
    </w:p>
    <w:p w:rsidR="00442764" w:rsidRPr="006C706E" w:rsidRDefault="00442764" w:rsidP="009C00BB">
      <w:pPr>
        <w:ind w:firstLine="0"/>
        <w:rPr>
          <w:rFonts w:asciiTheme="minorHAnsi" w:hAnsiTheme="minorHAnsi"/>
          <w:sz w:val="20"/>
          <w:szCs w:val="20"/>
        </w:rPr>
      </w:pPr>
      <w:r w:rsidRPr="006C706E">
        <w:rPr>
          <w:rFonts w:asciiTheme="minorHAnsi" w:hAnsiTheme="minorHAnsi"/>
          <w:sz w:val="20"/>
          <w:szCs w:val="20"/>
        </w:rPr>
        <w:t>LEGISLACION APLICABLE</w:t>
      </w:r>
    </w:p>
    <w:p w:rsidR="00442764" w:rsidRPr="006C706E" w:rsidRDefault="00442764" w:rsidP="009C00BB">
      <w:pPr>
        <w:ind w:firstLine="0"/>
        <w:rPr>
          <w:rFonts w:asciiTheme="minorHAnsi" w:hAnsiTheme="minorHAnsi"/>
          <w:sz w:val="20"/>
          <w:szCs w:val="20"/>
        </w:rPr>
      </w:pPr>
      <w:r w:rsidRPr="006C706E">
        <w:rPr>
          <w:rFonts w:asciiTheme="minorHAnsi" w:hAnsiTheme="minorHAnsi"/>
          <w:sz w:val="20"/>
          <w:szCs w:val="20"/>
        </w:rPr>
        <w:t xml:space="preserve">Las ayudas previstas en el marco de este actividad se concederán conforme a lo previsto en el Reglamento (UE) 1407/2013 de la Comisión de 18 de diciembre de 2013 relativo a la aplicación de los artículos 107 y 108 del Tratado de Funcionamiento de la Unión Europea a las ayudas de </w:t>
      </w:r>
      <w:proofErr w:type="spellStart"/>
      <w:r w:rsidRPr="006C706E">
        <w:rPr>
          <w:rFonts w:asciiTheme="minorHAnsi" w:hAnsiTheme="minorHAnsi"/>
          <w:sz w:val="20"/>
          <w:szCs w:val="20"/>
        </w:rPr>
        <w:t>minimis</w:t>
      </w:r>
      <w:proofErr w:type="spellEnd"/>
      <w:r w:rsidRPr="006C706E">
        <w:rPr>
          <w:rFonts w:asciiTheme="minorHAnsi" w:hAnsiTheme="minorHAnsi"/>
          <w:sz w:val="20"/>
          <w:szCs w:val="20"/>
        </w:rPr>
        <w:t xml:space="preserve">. La ayuda total de </w:t>
      </w:r>
      <w:proofErr w:type="spellStart"/>
      <w:r w:rsidRPr="006C706E">
        <w:rPr>
          <w:rFonts w:asciiTheme="minorHAnsi" w:hAnsiTheme="minorHAnsi"/>
          <w:sz w:val="20"/>
          <w:szCs w:val="20"/>
        </w:rPr>
        <w:t>mínimis</w:t>
      </w:r>
      <w:proofErr w:type="spellEnd"/>
      <w:r w:rsidRPr="006C706E">
        <w:rPr>
          <w:rFonts w:asciiTheme="minorHAnsi" w:hAnsiTheme="minorHAnsi"/>
          <w:sz w:val="20"/>
          <w:szCs w:val="20"/>
        </w:rPr>
        <w:t xml:space="preserve"> concedida a una única empresa no podrá superar los 200.000 euros durante cualquier periodo de tres ejercicios fiscales, habida cuenta de las otras </w:t>
      </w:r>
      <w:r w:rsidRPr="006C706E">
        <w:rPr>
          <w:rFonts w:asciiTheme="minorHAnsi" w:hAnsiTheme="minorHAnsi"/>
          <w:sz w:val="20"/>
          <w:szCs w:val="20"/>
        </w:rPr>
        <w:lastRenderedPageBreak/>
        <w:t>ayudas también percibidas durante este mismo período, de conformidad con lo previsto en el artículo 3, apartado 2, del Reglamento mencionado. De igual forma, le es de aplicación la Ley 38/2003, de 17 de noviembre, General de Subvenciones y el Real Decreto 887/2006, de 21 de julio de desarrollo, en todo lo relativo a las ayudas dinerarias sin contraprestación económica al igual que la normativa interna de ayudas de ICEX aprobada por el Consejo de Administración de 12 de diciembre de 2012.</w:t>
      </w:r>
    </w:p>
    <w:p w:rsidR="00442764" w:rsidRPr="006C706E" w:rsidRDefault="00442764" w:rsidP="00442764">
      <w:pPr>
        <w:rPr>
          <w:rFonts w:asciiTheme="minorHAnsi" w:hAnsiTheme="minorHAnsi"/>
          <w:sz w:val="20"/>
          <w:szCs w:val="20"/>
        </w:rPr>
      </w:pPr>
      <w:r w:rsidRPr="006C706E">
        <w:rPr>
          <w:rFonts w:asciiTheme="minorHAnsi" w:hAnsiTheme="minorHAnsi"/>
          <w:sz w:val="20"/>
          <w:szCs w:val="20"/>
        </w:rPr>
        <w:t> </w:t>
      </w:r>
    </w:p>
    <w:p w:rsidR="00442764" w:rsidRPr="006C706E" w:rsidRDefault="00442764" w:rsidP="009C00BB">
      <w:pPr>
        <w:ind w:firstLine="0"/>
        <w:rPr>
          <w:rFonts w:asciiTheme="minorHAnsi" w:hAnsiTheme="minorHAnsi"/>
          <w:sz w:val="20"/>
          <w:szCs w:val="20"/>
        </w:rPr>
      </w:pPr>
      <w:r w:rsidRPr="006C706E">
        <w:rPr>
          <w:rFonts w:asciiTheme="minorHAnsi" w:hAnsiTheme="minorHAnsi"/>
          <w:sz w:val="20"/>
          <w:szCs w:val="20"/>
        </w:rPr>
        <w:t>IMPORTANTE - Autorización a la AEAT/Aduanas:</w:t>
      </w:r>
    </w:p>
    <w:p w:rsidR="00442764" w:rsidRPr="006C706E" w:rsidRDefault="00442764" w:rsidP="009C00BB">
      <w:pPr>
        <w:ind w:firstLine="0"/>
        <w:rPr>
          <w:rFonts w:asciiTheme="minorHAnsi" w:hAnsiTheme="minorHAnsi"/>
          <w:sz w:val="20"/>
          <w:szCs w:val="20"/>
        </w:rPr>
      </w:pPr>
      <w:r w:rsidRPr="006C706E">
        <w:rPr>
          <w:rFonts w:asciiTheme="minorHAnsi" w:hAnsiTheme="minorHAnsi"/>
          <w:sz w:val="20"/>
          <w:szCs w:val="20"/>
        </w:rPr>
        <w:t>ICEX valorará muy positivamente que las empresas que participen en los programas sectoriales autoricen al Departamento de Aduanas e II.EE. de la Agencia Estatal de la Administración Tributaria (siempre que no lo hubiera hecho previamente), a que remita a ICEX información sobre su comercio exterior.</w:t>
      </w:r>
    </w:p>
    <w:p w:rsidR="009C619C" w:rsidRPr="006C706E" w:rsidRDefault="00442764" w:rsidP="009C00BB">
      <w:pPr>
        <w:ind w:firstLine="0"/>
        <w:rPr>
          <w:rFonts w:asciiTheme="minorHAnsi" w:hAnsiTheme="minorHAnsi"/>
        </w:rPr>
      </w:pPr>
      <w:r w:rsidRPr="006C706E">
        <w:rPr>
          <w:rFonts w:asciiTheme="minorHAnsi" w:hAnsiTheme="minorHAnsi"/>
          <w:sz w:val="20"/>
          <w:szCs w:val="20"/>
        </w:rPr>
        <w:t>La autorización señalada se ha de cursar una sola vez.</w:t>
      </w:r>
      <w:r w:rsidR="009C00BB" w:rsidRPr="006C706E">
        <w:rPr>
          <w:rFonts w:asciiTheme="minorHAnsi" w:hAnsiTheme="minorHAnsi"/>
          <w:sz w:val="20"/>
          <w:szCs w:val="20"/>
        </w:rPr>
        <w:t xml:space="preserve"> </w:t>
      </w:r>
      <w:r w:rsidRPr="006C706E">
        <w:rPr>
          <w:rFonts w:asciiTheme="minorHAnsi" w:hAnsiTheme="minorHAnsi"/>
          <w:sz w:val="20"/>
          <w:szCs w:val="20"/>
        </w:rPr>
        <w:t xml:space="preserve">Más información en </w:t>
      </w:r>
      <w:hyperlink r:id="rId7" w:history="1">
        <w:r w:rsidRPr="006C706E">
          <w:rPr>
            <w:rFonts w:asciiTheme="minorHAnsi" w:hAnsiTheme="minorHAnsi"/>
            <w:sz w:val="20"/>
            <w:szCs w:val="20"/>
          </w:rPr>
          <w:t>www.icex.es/siautorizaexporta</w:t>
        </w:r>
      </w:hyperlink>
    </w:p>
    <w:p w:rsidR="006C706E" w:rsidRPr="006C706E" w:rsidRDefault="006C706E" w:rsidP="009C00BB">
      <w:pPr>
        <w:ind w:firstLine="0"/>
        <w:rPr>
          <w:rFonts w:asciiTheme="minorHAnsi" w:hAnsiTheme="minorHAnsi"/>
        </w:rPr>
      </w:pPr>
    </w:p>
    <w:p w:rsidR="006C706E" w:rsidRPr="006C706E" w:rsidRDefault="006C706E" w:rsidP="006C706E">
      <w:pPr>
        <w:spacing w:after="120"/>
        <w:ind w:firstLine="0"/>
        <w:rPr>
          <w:rFonts w:asciiTheme="minorHAnsi" w:hAnsiTheme="minorHAnsi"/>
          <w:sz w:val="20"/>
          <w:szCs w:val="20"/>
        </w:rPr>
      </w:pPr>
      <w:r w:rsidRPr="006C706E">
        <w:rPr>
          <w:rFonts w:asciiTheme="minorHAnsi" w:hAnsiTheme="minorHAnsi"/>
          <w:sz w:val="20"/>
          <w:szCs w:val="20"/>
        </w:rPr>
        <w:t>FONDOS FEDER</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“Esta actividad es susceptible de ser cofinanciada por el Fondo Europeo de Desarrollo Regional (FEDER).</w:t>
      </w:r>
    </w:p>
    <w:p w:rsidR="006C706E" w:rsidRPr="006C706E" w:rsidRDefault="006C706E" w:rsidP="006C706E">
      <w:pPr>
        <w:rPr>
          <w:rFonts w:asciiTheme="minorHAnsi" w:hAnsiTheme="minorHAnsi"/>
          <w:sz w:val="20"/>
          <w:szCs w:val="20"/>
        </w:rPr>
      </w:pPr>
      <w:r w:rsidRPr="006C706E">
        <w:rPr>
          <w:rFonts w:asciiTheme="minorHAnsi" w:hAnsiTheme="minorHAnsi"/>
          <w:sz w:val="20"/>
          <w:szCs w:val="20"/>
        </w:rPr>
        <w:t> </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La aceptación de la ayuda ICEX por parte de las empresas participantes, supone su aceptación a ser incluidas en la lista de operaciones publicada de conformidad con art. 115 apartado 2) del Reglamento (UE) 1303/2013.</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Esta aceptación también supone su permiso a que ICEX publique en su página web la conformidad de la empresa con el siguiente texto:</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la que me ubico y de España en su conjunto”.</w:t>
      </w:r>
    </w:p>
    <w:p w:rsidR="006C706E" w:rsidRPr="006C706E" w:rsidRDefault="006C706E" w:rsidP="006C706E">
      <w:pPr>
        <w:rPr>
          <w:rFonts w:asciiTheme="minorHAnsi" w:hAnsiTheme="minorHAnsi"/>
          <w:sz w:val="20"/>
          <w:szCs w:val="20"/>
        </w:rPr>
      </w:pPr>
      <w:r w:rsidRPr="006C706E">
        <w:rPr>
          <w:rFonts w:asciiTheme="minorHAnsi" w:hAnsiTheme="minorHAnsi"/>
          <w:sz w:val="20"/>
          <w:szCs w:val="20"/>
        </w:rPr>
        <w:t> </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Asimismo,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125-4.b) del citado Reglamento para lo relativo a la contabilización de las operaciones.</w:t>
      </w:r>
    </w:p>
    <w:p w:rsidR="006C706E" w:rsidRPr="006C706E" w:rsidRDefault="006C706E" w:rsidP="006C706E">
      <w:pPr>
        <w:rPr>
          <w:rFonts w:asciiTheme="minorHAnsi" w:hAnsiTheme="minorHAnsi"/>
          <w:sz w:val="20"/>
          <w:szCs w:val="20"/>
        </w:rPr>
      </w:pPr>
      <w:r w:rsidRPr="006C706E">
        <w:rPr>
          <w:rFonts w:asciiTheme="minorHAnsi" w:hAnsiTheme="minorHAnsi"/>
          <w:sz w:val="20"/>
          <w:szCs w:val="20"/>
        </w:rPr>
        <w:t> </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 xml:space="preserve">Toda la información relativa a las responsabilidades y obligaciones de las empresas beneficiarias en materia de Información y Comunicación, se encuentra disponible en la web de ICEX  </w:t>
      </w:r>
      <w:hyperlink r:id="rId8" w:history="1">
        <w:r w:rsidRPr="006C706E">
          <w:rPr>
            <w:rFonts w:asciiTheme="minorHAnsi" w:hAnsiTheme="minorHAnsi"/>
            <w:sz w:val="20"/>
            <w:szCs w:val="20"/>
          </w:rPr>
          <w:t>www.icex.es/fondosfeder</w:t>
        </w:r>
      </w:hyperlink>
    </w:p>
    <w:p w:rsidR="006C706E" w:rsidRPr="006C706E" w:rsidRDefault="006C706E" w:rsidP="006C706E">
      <w:pPr>
        <w:rPr>
          <w:rFonts w:asciiTheme="minorHAnsi" w:hAnsiTheme="minorHAnsi"/>
          <w:sz w:val="20"/>
          <w:szCs w:val="20"/>
        </w:rPr>
      </w:pPr>
    </w:p>
    <w:p w:rsidR="006C706E" w:rsidRPr="006C706E" w:rsidRDefault="006C706E" w:rsidP="006C706E">
      <w:pPr>
        <w:rPr>
          <w:rFonts w:asciiTheme="minorHAnsi" w:hAnsiTheme="minorHAnsi"/>
          <w:sz w:val="20"/>
          <w:szCs w:val="20"/>
        </w:rPr>
      </w:pPr>
    </w:p>
    <w:p w:rsidR="006C706E" w:rsidRPr="006C706E" w:rsidRDefault="006C706E" w:rsidP="009C00BB">
      <w:pPr>
        <w:ind w:firstLine="0"/>
        <w:rPr>
          <w:rFonts w:asciiTheme="minorHAnsi" w:hAnsiTheme="minorHAnsi"/>
          <w:sz w:val="20"/>
          <w:szCs w:val="20"/>
        </w:rPr>
      </w:pPr>
    </w:p>
    <w:sectPr w:rsidR="006C706E" w:rsidRPr="006C706E" w:rsidSect="00965638">
      <w:headerReference w:type="default" r:id="rId9"/>
      <w:footerReference w:type="default" r:id="rId10"/>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7A" w:rsidRDefault="00B2767A" w:rsidP="009C619C">
      <w:r>
        <w:separator/>
      </w:r>
    </w:p>
  </w:endnote>
  <w:endnote w:type="continuationSeparator" w:id="0">
    <w:p w:rsidR="00B2767A" w:rsidRDefault="00B2767A" w:rsidP="009C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45" w:rsidRPr="000F2D45" w:rsidRDefault="000F2D45" w:rsidP="000F2D45">
    <w:pPr>
      <w:tabs>
        <w:tab w:val="right" w:pos="9781"/>
      </w:tabs>
      <w:autoSpaceDE/>
      <w:autoSpaceDN/>
      <w:ind w:right="197" w:firstLine="0"/>
      <w:jc w:val="left"/>
      <w:rPr>
        <w:rFonts w:ascii="Calibri" w:eastAsia="Calibri" w:hAnsi="Calibri"/>
        <w:color w:val="8E908F"/>
        <w:sz w:val="20"/>
        <w:szCs w:val="22"/>
        <w:lang w:val="es-ES" w:eastAsia="en-US"/>
      </w:rPr>
    </w:pPr>
    <w:r w:rsidRPr="000F2D45">
      <w:rPr>
        <w:rFonts w:ascii="Calibri" w:eastAsia="Calibri" w:hAnsi="Calibri"/>
        <w:color w:val="8E908F"/>
        <w:sz w:val="20"/>
        <w:szCs w:val="20"/>
        <w:lang w:val="es-ES" w:eastAsia="en-US"/>
      </w:rPr>
      <w:t>Fondo Europeo de Desarrollo Regional</w:t>
    </w:r>
    <w:r w:rsidRPr="000F2D45">
      <w:rPr>
        <w:rFonts w:ascii="Calibri" w:eastAsia="Calibri" w:hAnsi="Calibri"/>
        <w:color w:val="8E908F"/>
        <w:sz w:val="18"/>
        <w:szCs w:val="18"/>
        <w:lang w:val="es-ES" w:eastAsia="en-US"/>
      </w:rPr>
      <w:t xml:space="preserve"> </w:t>
    </w:r>
    <w:r w:rsidRPr="000F2D45">
      <w:rPr>
        <w:rFonts w:ascii="Calibri" w:eastAsia="Calibri" w:hAnsi="Calibri"/>
        <w:color w:val="8E908F"/>
        <w:sz w:val="18"/>
        <w:szCs w:val="18"/>
        <w:lang w:val="es-ES" w:eastAsia="en-US"/>
      </w:rPr>
      <w:tab/>
    </w:r>
    <w:r w:rsidRPr="000F2D45">
      <w:rPr>
        <w:rFonts w:ascii="Calibri" w:eastAsia="Calibri" w:hAnsi="Calibri"/>
        <w:color w:val="8E908F"/>
        <w:sz w:val="22"/>
        <w:szCs w:val="22"/>
        <w:lang w:val="es-ES" w:eastAsia="en-US"/>
      </w:rPr>
      <w:t>Una manera de hacer Europa</w:t>
    </w:r>
  </w:p>
  <w:p w:rsidR="007F7072" w:rsidRPr="000F2D45" w:rsidRDefault="007F7072">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7A" w:rsidRDefault="00B2767A" w:rsidP="009C619C">
      <w:r>
        <w:separator/>
      </w:r>
    </w:p>
  </w:footnote>
  <w:footnote w:type="continuationSeparator" w:id="0">
    <w:p w:rsidR="00B2767A" w:rsidRDefault="00B2767A" w:rsidP="009C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53" w:rsidRPr="001A137B" w:rsidRDefault="007F7072" w:rsidP="00F80153">
    <w:pPr>
      <w:pStyle w:val="Encabezado"/>
      <w:tabs>
        <w:tab w:val="clear" w:pos="8504"/>
        <w:tab w:val="left" w:pos="9356"/>
      </w:tabs>
      <w:ind w:left="-426" w:right="-286"/>
    </w:pPr>
    <w:r>
      <w:rPr>
        <w:noProof/>
        <w:lang w:val="es-ES"/>
      </w:rPr>
      <w:drawing>
        <wp:inline distT="0" distB="0" distL="0" distR="0" wp14:anchorId="30251E0C" wp14:editId="1AFE75A6">
          <wp:extent cx="2617695" cy="37642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085" cy="376911"/>
                  </a:xfrm>
                  <a:prstGeom prst="rect">
                    <a:avLst/>
                  </a:prstGeom>
                  <a:noFill/>
                </pic:spPr>
              </pic:pic>
            </a:graphicData>
          </a:graphic>
        </wp:inline>
      </w:drawing>
    </w:r>
    <w:r w:rsidR="00F80153" w:rsidRPr="00B63C6D">
      <w:rPr>
        <w:noProof/>
        <w:sz w:val="22"/>
      </w:rPr>
      <w:t xml:space="preserve">   </w:t>
    </w:r>
    <w:r w:rsidR="00F80153" w:rsidRPr="00B63C6D">
      <w:rPr>
        <w:noProof/>
        <w:color w:val="1F497D"/>
        <w:sz w:val="22"/>
        <w:lang w:val="es-ES"/>
      </w:rPr>
      <w:drawing>
        <wp:inline distT="0" distB="0" distL="0" distR="0" wp14:anchorId="2EF41921" wp14:editId="6574C6D3">
          <wp:extent cx="540727" cy="826994"/>
          <wp:effectExtent l="19050" t="0" r="0" b="0"/>
          <wp:docPr id="8" name="Imagen 1" descr="http://www.camaras.org/images/c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maras.org/images/cce.jpg"/>
                  <pic:cNvPicPr>
                    <a:picLocks noChangeAspect="1" noChangeArrowheads="1"/>
                  </pic:cNvPicPr>
                </pic:nvPicPr>
                <pic:blipFill>
                  <a:blip r:embed="rId2" r:link="rId3"/>
                  <a:srcRect/>
                  <a:stretch>
                    <a:fillRect/>
                  </a:stretch>
                </pic:blipFill>
                <pic:spPr bwMode="auto">
                  <a:xfrm>
                    <a:off x="0" y="0"/>
                    <a:ext cx="543530" cy="831281"/>
                  </a:xfrm>
                  <a:prstGeom prst="rect">
                    <a:avLst/>
                  </a:prstGeom>
                  <a:noFill/>
                  <a:ln w="9525">
                    <a:noFill/>
                    <a:miter lim="800000"/>
                    <a:headEnd/>
                    <a:tailEnd/>
                  </a:ln>
                </pic:spPr>
              </pic:pic>
            </a:graphicData>
          </a:graphic>
        </wp:inline>
      </w:drawing>
    </w:r>
    <w:r w:rsidR="006E0769">
      <w:rPr>
        <w:noProof/>
        <w:sz w:val="22"/>
      </w:rPr>
      <w:t xml:space="preserve">    </w:t>
    </w:r>
    <w:r w:rsidR="006E0769">
      <w:rPr>
        <w:noProof/>
        <w:sz w:val="22"/>
        <w:lang w:val="es-ES"/>
      </w:rPr>
      <w:t xml:space="preserve">      </w:t>
    </w:r>
    <w:r w:rsidR="00927360">
      <w:rPr>
        <w:noProof/>
        <w:sz w:val="22"/>
        <w:lang w:val="es-ES"/>
      </w:rPr>
      <w:drawing>
        <wp:inline distT="0" distB="0" distL="0" distR="0" wp14:anchorId="4BFC8390" wp14:editId="31500F45">
          <wp:extent cx="1011817" cy="809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ámara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0616" cy="824667"/>
                  </a:xfrm>
                  <a:prstGeom prst="rect">
                    <a:avLst/>
                  </a:prstGeom>
                </pic:spPr>
              </pic:pic>
            </a:graphicData>
          </a:graphic>
        </wp:inline>
      </w:drawing>
    </w:r>
    <w:r w:rsidR="00F80153" w:rsidRPr="00B63C6D">
      <w:rPr>
        <w:noProof/>
        <w:sz w:val="22"/>
      </w:rPr>
      <w:t xml:space="preserve"> </w:t>
    </w:r>
    <w:r w:rsidR="006E0769">
      <w:rPr>
        <w:noProof/>
        <w:sz w:val="22"/>
      </w:rPr>
      <w:t xml:space="preserve">                 </w:t>
    </w:r>
    <w:r w:rsidR="006E0769">
      <w:rPr>
        <w:noProof/>
        <w:lang w:val="es-ES"/>
      </w:rPr>
      <w:drawing>
        <wp:inline distT="0" distB="0" distL="0" distR="0" wp14:anchorId="6BA17DEF" wp14:editId="2D6922A6">
          <wp:extent cx="819150" cy="65665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3814" cy="660390"/>
                  </a:xfrm>
                  <a:prstGeom prst="rect">
                    <a:avLst/>
                  </a:prstGeom>
                </pic:spPr>
              </pic:pic>
            </a:graphicData>
          </a:graphic>
        </wp:inline>
      </w:drawing>
    </w:r>
  </w:p>
  <w:p w:rsidR="009C619C" w:rsidRPr="009C619C" w:rsidRDefault="009C619C">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164B5E"/>
    <w:lvl w:ilvl="0">
      <w:numFmt w:val="bullet"/>
      <w:lvlText w:val="*"/>
      <w:lvlJc w:val="left"/>
    </w:lvl>
  </w:abstractNum>
  <w:num w:numId="1">
    <w:abstractNumId w:val="0"/>
    <w:lvlOverride w:ilvl="0">
      <w:lvl w:ilvl="0">
        <w:start w:val="1"/>
        <w:numFmt w:val="bullet"/>
        <w:lvlText w:val="-"/>
        <w:legacy w:legacy="1" w:legacySpace="0" w:legacyIndent="340"/>
        <w:lvlJc w:val="left"/>
        <w:pPr>
          <w:ind w:left="624" w:hanging="34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81"/>
    <w:rsid w:val="000058BC"/>
    <w:rsid w:val="000207FE"/>
    <w:rsid w:val="00021B1B"/>
    <w:rsid w:val="00052DF7"/>
    <w:rsid w:val="0006553A"/>
    <w:rsid w:val="000A215B"/>
    <w:rsid w:val="000A2789"/>
    <w:rsid w:val="000C27B4"/>
    <w:rsid w:val="000D4E89"/>
    <w:rsid w:val="000F2D45"/>
    <w:rsid w:val="00121953"/>
    <w:rsid w:val="00123CA9"/>
    <w:rsid w:val="00133960"/>
    <w:rsid w:val="001A780E"/>
    <w:rsid w:val="001D2D9C"/>
    <w:rsid w:val="00213473"/>
    <w:rsid w:val="002233A5"/>
    <w:rsid w:val="0026165B"/>
    <w:rsid w:val="002663D5"/>
    <w:rsid w:val="0027224F"/>
    <w:rsid w:val="00283029"/>
    <w:rsid w:val="002B4016"/>
    <w:rsid w:val="002C473F"/>
    <w:rsid w:val="002F5310"/>
    <w:rsid w:val="003034BB"/>
    <w:rsid w:val="00310D12"/>
    <w:rsid w:val="00345B5A"/>
    <w:rsid w:val="0037336F"/>
    <w:rsid w:val="00386D0A"/>
    <w:rsid w:val="003A1D80"/>
    <w:rsid w:val="003A51AF"/>
    <w:rsid w:val="003C0470"/>
    <w:rsid w:val="00422D39"/>
    <w:rsid w:val="00422EDE"/>
    <w:rsid w:val="00436AFB"/>
    <w:rsid w:val="00442764"/>
    <w:rsid w:val="004451E2"/>
    <w:rsid w:val="004677DC"/>
    <w:rsid w:val="0047433B"/>
    <w:rsid w:val="00475121"/>
    <w:rsid w:val="004C5281"/>
    <w:rsid w:val="004E1555"/>
    <w:rsid w:val="00517F79"/>
    <w:rsid w:val="00525193"/>
    <w:rsid w:val="0052786C"/>
    <w:rsid w:val="005326BA"/>
    <w:rsid w:val="005508DB"/>
    <w:rsid w:val="00561DEC"/>
    <w:rsid w:val="00586A2A"/>
    <w:rsid w:val="005A29BC"/>
    <w:rsid w:val="005D71DC"/>
    <w:rsid w:val="00622FE3"/>
    <w:rsid w:val="0062473E"/>
    <w:rsid w:val="006334F5"/>
    <w:rsid w:val="00690858"/>
    <w:rsid w:val="006C706E"/>
    <w:rsid w:val="006D6D6F"/>
    <w:rsid w:val="006E0769"/>
    <w:rsid w:val="006E2181"/>
    <w:rsid w:val="00717E15"/>
    <w:rsid w:val="0074622F"/>
    <w:rsid w:val="00795704"/>
    <w:rsid w:val="007C03DC"/>
    <w:rsid w:val="007E2750"/>
    <w:rsid w:val="007F7072"/>
    <w:rsid w:val="00805DA6"/>
    <w:rsid w:val="00821A75"/>
    <w:rsid w:val="00842D89"/>
    <w:rsid w:val="008642EB"/>
    <w:rsid w:val="00882D2E"/>
    <w:rsid w:val="008A050F"/>
    <w:rsid w:val="008C2958"/>
    <w:rsid w:val="008E0F9E"/>
    <w:rsid w:val="008F3A4E"/>
    <w:rsid w:val="008F4EDC"/>
    <w:rsid w:val="00902062"/>
    <w:rsid w:val="00924BC8"/>
    <w:rsid w:val="00924C6C"/>
    <w:rsid w:val="00927360"/>
    <w:rsid w:val="009364D6"/>
    <w:rsid w:val="00943AE0"/>
    <w:rsid w:val="009618AB"/>
    <w:rsid w:val="00965638"/>
    <w:rsid w:val="009672F3"/>
    <w:rsid w:val="0097094C"/>
    <w:rsid w:val="009A0291"/>
    <w:rsid w:val="009B0350"/>
    <w:rsid w:val="009C00BB"/>
    <w:rsid w:val="009C201D"/>
    <w:rsid w:val="009C619C"/>
    <w:rsid w:val="009C6288"/>
    <w:rsid w:val="009F2A50"/>
    <w:rsid w:val="00A40355"/>
    <w:rsid w:val="00A726BB"/>
    <w:rsid w:val="00A81036"/>
    <w:rsid w:val="00A97FE3"/>
    <w:rsid w:val="00AC1382"/>
    <w:rsid w:val="00AC42D2"/>
    <w:rsid w:val="00AC791F"/>
    <w:rsid w:val="00AE6DC7"/>
    <w:rsid w:val="00B2767A"/>
    <w:rsid w:val="00B47431"/>
    <w:rsid w:val="00B57932"/>
    <w:rsid w:val="00B630FF"/>
    <w:rsid w:val="00B81C72"/>
    <w:rsid w:val="00BA3B7D"/>
    <w:rsid w:val="00BB4C2C"/>
    <w:rsid w:val="00BF77F0"/>
    <w:rsid w:val="00BF78A5"/>
    <w:rsid w:val="00C37F75"/>
    <w:rsid w:val="00C7360B"/>
    <w:rsid w:val="00C85BFC"/>
    <w:rsid w:val="00C875F7"/>
    <w:rsid w:val="00CC5D8C"/>
    <w:rsid w:val="00CE1FF7"/>
    <w:rsid w:val="00CF06B8"/>
    <w:rsid w:val="00D142DD"/>
    <w:rsid w:val="00E00EF5"/>
    <w:rsid w:val="00E0798D"/>
    <w:rsid w:val="00E14373"/>
    <w:rsid w:val="00E17C79"/>
    <w:rsid w:val="00E54B59"/>
    <w:rsid w:val="00E64BEA"/>
    <w:rsid w:val="00E66F37"/>
    <w:rsid w:val="00E9005A"/>
    <w:rsid w:val="00EB2CF3"/>
    <w:rsid w:val="00EB3DB5"/>
    <w:rsid w:val="00ED1AF1"/>
    <w:rsid w:val="00F07BCB"/>
    <w:rsid w:val="00F25849"/>
    <w:rsid w:val="00F619D6"/>
    <w:rsid w:val="00F664A2"/>
    <w:rsid w:val="00F722B5"/>
    <w:rsid w:val="00F761B2"/>
    <w:rsid w:val="00F77B68"/>
    <w:rsid w:val="00F80153"/>
    <w:rsid w:val="00F91CAE"/>
    <w:rsid w:val="00FE3F14"/>
    <w:rsid w:val="00FF2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C1252B-72DD-4579-9D53-501584FD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AB"/>
    <w:pPr>
      <w:autoSpaceDE w:val="0"/>
      <w:autoSpaceDN w:val="0"/>
      <w:ind w:firstLine="284"/>
      <w:jc w:val="both"/>
    </w:pPr>
    <w:rPr>
      <w:sz w:val="24"/>
      <w:szCs w:val="24"/>
      <w:lang w:val="es-ES_tradnl"/>
    </w:rPr>
  </w:style>
  <w:style w:type="paragraph" w:styleId="Ttulo1">
    <w:name w:val="heading 1"/>
    <w:basedOn w:val="Normal"/>
    <w:next w:val="Normal"/>
    <w:qFormat/>
    <w:rsid w:val="00BF78A5"/>
    <w:pPr>
      <w:keepNext/>
      <w:ind w:firstLine="0"/>
      <w:outlineLvl w:val="0"/>
    </w:pPr>
    <w:rPr>
      <w:b/>
      <w:kern w:val="28"/>
      <w:sz w:val="36"/>
    </w:rPr>
  </w:style>
  <w:style w:type="paragraph" w:styleId="Ttulo2">
    <w:name w:val="heading 2"/>
    <w:basedOn w:val="Normal"/>
    <w:next w:val="Normal"/>
    <w:qFormat/>
    <w:rsid w:val="00BF78A5"/>
    <w:pPr>
      <w:keepNext/>
      <w:ind w:firstLine="0"/>
      <w:outlineLvl w:val="1"/>
    </w:pPr>
    <w:rPr>
      <w:b/>
      <w:sz w:val="32"/>
    </w:rPr>
  </w:style>
  <w:style w:type="paragraph" w:styleId="Ttulo3">
    <w:name w:val="heading 3"/>
    <w:basedOn w:val="Normal"/>
    <w:next w:val="Normal"/>
    <w:qFormat/>
    <w:rsid w:val="00BF78A5"/>
    <w:pPr>
      <w:keepNext/>
      <w:ind w:firstLine="0"/>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eracin">
    <w:name w:val="Numeración"/>
    <w:basedOn w:val="Normal"/>
    <w:rsid w:val="00BF78A5"/>
    <w:pPr>
      <w:ind w:left="624" w:hanging="340"/>
    </w:pPr>
  </w:style>
  <w:style w:type="paragraph" w:customStyle="1" w:styleId="Vietas">
    <w:name w:val="Viñetas"/>
    <w:basedOn w:val="Normal"/>
    <w:rsid w:val="00BF78A5"/>
    <w:pPr>
      <w:ind w:left="624" w:hanging="340"/>
    </w:pPr>
  </w:style>
  <w:style w:type="paragraph" w:customStyle="1" w:styleId="Guiones">
    <w:name w:val="Guiones"/>
    <w:basedOn w:val="Normal"/>
    <w:rsid w:val="00BF78A5"/>
    <w:pPr>
      <w:ind w:left="624" w:hanging="340"/>
    </w:pPr>
  </w:style>
  <w:style w:type="paragraph" w:customStyle="1" w:styleId="Punteado">
    <w:name w:val="Punteado"/>
    <w:basedOn w:val="Normal"/>
    <w:rsid w:val="00BF78A5"/>
    <w:pPr>
      <w:tabs>
        <w:tab w:val="right" w:leader="dot" w:pos="5670"/>
      </w:tabs>
    </w:pPr>
  </w:style>
  <w:style w:type="paragraph" w:styleId="Textoindependiente">
    <w:name w:val="Body Text"/>
    <w:basedOn w:val="Normal"/>
    <w:rsid w:val="009618AB"/>
    <w:pPr>
      <w:widowControl w:val="0"/>
      <w:ind w:firstLine="0"/>
    </w:pPr>
    <w:rPr>
      <w:rFonts w:ascii="Arial" w:hAnsi="Arial" w:cs="Arial"/>
      <w:lang w:val="es-ES"/>
    </w:rPr>
  </w:style>
  <w:style w:type="character" w:styleId="Hipervnculo">
    <w:name w:val="Hyperlink"/>
    <w:uiPriority w:val="99"/>
    <w:unhideWhenUsed/>
    <w:rsid w:val="00133960"/>
    <w:rPr>
      <w:color w:val="0000FF"/>
      <w:u w:val="single"/>
    </w:rPr>
  </w:style>
  <w:style w:type="character" w:customStyle="1" w:styleId="iceouttxt15">
    <w:name w:val="iceouttxt15"/>
    <w:basedOn w:val="Fuentedeprrafopredeter"/>
    <w:rsid w:val="004451E2"/>
  </w:style>
  <w:style w:type="paragraph" w:styleId="Encabezado">
    <w:name w:val="header"/>
    <w:basedOn w:val="Normal"/>
    <w:link w:val="EncabezadoCar"/>
    <w:uiPriority w:val="99"/>
    <w:unhideWhenUsed/>
    <w:rsid w:val="009C619C"/>
    <w:pPr>
      <w:tabs>
        <w:tab w:val="center" w:pos="4252"/>
        <w:tab w:val="right" w:pos="8504"/>
      </w:tabs>
    </w:pPr>
  </w:style>
  <w:style w:type="character" w:customStyle="1" w:styleId="EncabezadoCar">
    <w:name w:val="Encabezado Car"/>
    <w:link w:val="Encabezado"/>
    <w:uiPriority w:val="99"/>
    <w:rsid w:val="009C619C"/>
    <w:rPr>
      <w:sz w:val="24"/>
      <w:szCs w:val="24"/>
      <w:lang w:val="es-ES_tradnl"/>
    </w:rPr>
  </w:style>
  <w:style w:type="paragraph" w:styleId="Piedepgina">
    <w:name w:val="footer"/>
    <w:basedOn w:val="Normal"/>
    <w:link w:val="PiedepginaCar"/>
    <w:uiPriority w:val="99"/>
    <w:unhideWhenUsed/>
    <w:rsid w:val="009C619C"/>
    <w:pPr>
      <w:tabs>
        <w:tab w:val="center" w:pos="4252"/>
        <w:tab w:val="right" w:pos="8504"/>
      </w:tabs>
    </w:pPr>
  </w:style>
  <w:style w:type="character" w:customStyle="1" w:styleId="PiedepginaCar">
    <w:name w:val="Pie de página Car"/>
    <w:link w:val="Piedepgina"/>
    <w:uiPriority w:val="99"/>
    <w:rsid w:val="009C619C"/>
    <w:rPr>
      <w:sz w:val="24"/>
      <w:szCs w:val="24"/>
      <w:lang w:val="es-ES_tradnl"/>
    </w:rPr>
  </w:style>
  <w:style w:type="paragraph" w:styleId="Textodeglobo">
    <w:name w:val="Balloon Text"/>
    <w:basedOn w:val="Normal"/>
    <w:link w:val="TextodegloboCar"/>
    <w:uiPriority w:val="99"/>
    <w:semiHidden/>
    <w:unhideWhenUsed/>
    <w:rsid w:val="000A215B"/>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15B"/>
    <w:rPr>
      <w:rFonts w:ascii="Tahoma" w:hAnsi="Tahoma" w:cs="Tahoma"/>
      <w:sz w:val="16"/>
      <w:szCs w:val="16"/>
      <w:lang w:val="es-ES_tradnl"/>
    </w:rPr>
  </w:style>
  <w:style w:type="paragraph" w:styleId="Sinespaciado">
    <w:name w:val="No Spacing"/>
    <w:uiPriority w:val="1"/>
    <w:qFormat/>
    <w:rsid w:val="00213473"/>
    <w:rPr>
      <w:rFonts w:asciiTheme="minorHAnsi" w:eastAsiaTheme="minorEastAsia" w:hAnsiTheme="minorHAnsi" w:cstheme="minorBidi"/>
      <w:sz w:val="22"/>
      <w:szCs w:val="22"/>
    </w:rPr>
  </w:style>
  <w:style w:type="table" w:styleId="Tablaconcuadrcula">
    <w:name w:val="Table Grid"/>
    <w:basedOn w:val="Tablanormal"/>
    <w:uiPriority w:val="59"/>
    <w:rsid w:val="00310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1346">
      <w:bodyDiv w:val="1"/>
      <w:marLeft w:val="0"/>
      <w:marRight w:val="0"/>
      <w:marTop w:val="0"/>
      <w:marBottom w:val="0"/>
      <w:divBdr>
        <w:top w:val="none" w:sz="0" w:space="0" w:color="auto"/>
        <w:left w:val="none" w:sz="0" w:space="0" w:color="auto"/>
        <w:bottom w:val="none" w:sz="0" w:space="0" w:color="auto"/>
        <w:right w:val="none" w:sz="0" w:space="0" w:color="auto"/>
      </w:divBdr>
    </w:div>
    <w:div w:id="223688640">
      <w:bodyDiv w:val="1"/>
      <w:marLeft w:val="0"/>
      <w:marRight w:val="0"/>
      <w:marTop w:val="0"/>
      <w:marBottom w:val="0"/>
      <w:divBdr>
        <w:top w:val="none" w:sz="0" w:space="0" w:color="auto"/>
        <w:left w:val="none" w:sz="0" w:space="0" w:color="auto"/>
        <w:bottom w:val="none" w:sz="0" w:space="0" w:color="auto"/>
        <w:right w:val="none" w:sz="0" w:space="0" w:color="auto"/>
      </w:divBdr>
    </w:div>
    <w:div w:id="550116106">
      <w:bodyDiv w:val="1"/>
      <w:marLeft w:val="0"/>
      <w:marRight w:val="0"/>
      <w:marTop w:val="0"/>
      <w:marBottom w:val="0"/>
      <w:divBdr>
        <w:top w:val="none" w:sz="0" w:space="0" w:color="auto"/>
        <w:left w:val="none" w:sz="0" w:space="0" w:color="auto"/>
        <w:bottom w:val="none" w:sz="0" w:space="0" w:color="auto"/>
        <w:right w:val="none" w:sz="0" w:space="0" w:color="auto"/>
      </w:divBdr>
    </w:div>
    <w:div w:id="1566381599">
      <w:bodyDiv w:val="1"/>
      <w:marLeft w:val="0"/>
      <w:marRight w:val="0"/>
      <w:marTop w:val="0"/>
      <w:marBottom w:val="0"/>
      <w:divBdr>
        <w:top w:val="none" w:sz="0" w:space="0" w:color="auto"/>
        <w:left w:val="none" w:sz="0" w:space="0" w:color="auto"/>
        <w:bottom w:val="none" w:sz="0" w:space="0" w:color="auto"/>
        <w:right w:val="none" w:sz="0" w:space="0" w:color="auto"/>
      </w:divBdr>
    </w:div>
    <w:div w:id="1986740172">
      <w:bodyDiv w:val="1"/>
      <w:marLeft w:val="0"/>
      <w:marRight w:val="0"/>
      <w:marTop w:val="0"/>
      <w:marBottom w:val="0"/>
      <w:divBdr>
        <w:top w:val="none" w:sz="0" w:space="0" w:color="auto"/>
        <w:left w:val="none" w:sz="0" w:space="0" w:color="auto"/>
        <w:bottom w:val="none" w:sz="0" w:space="0" w:color="auto"/>
        <w:right w:val="none" w:sz="0" w:space="0" w:color="auto"/>
      </w:divBdr>
    </w:div>
    <w:div w:id="210318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cex.es/fondosfeder" TargetMode="External"/><Relationship Id="rId3" Type="http://schemas.openxmlformats.org/officeDocument/2006/relationships/settings" Target="settings.xml"/><Relationship Id="rId7" Type="http://schemas.openxmlformats.org/officeDocument/2006/relationships/hyperlink" Target="http://www.icex.es/siautorizaexpor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033C8.1E7FC470"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FICHA DE INSCRIPCION EN MIDEST ´2004</vt:lpstr>
    </vt:vector>
  </TitlesOfParts>
  <Company>CAMARA COMERCIO GIPUZKOA</Company>
  <LinksUpToDate>false</LinksUpToDate>
  <CharactersWithSpaces>4125</CharactersWithSpaces>
  <SharedDoc>false</SharedDoc>
  <HLinks>
    <vt:vector size="12" baseType="variant">
      <vt:variant>
        <vt:i4>3276823</vt:i4>
      </vt:variant>
      <vt:variant>
        <vt:i4>0</vt:i4>
      </vt:variant>
      <vt:variant>
        <vt:i4>0</vt:i4>
      </vt:variant>
      <vt:variant>
        <vt:i4>5</vt:i4>
      </vt:variant>
      <vt:variant>
        <vt:lpwstr>mailto:aaguirrezabala@camaragipuzkoa.com</vt:lpwstr>
      </vt:variant>
      <vt:variant>
        <vt:lpwstr/>
      </vt:variant>
      <vt:variant>
        <vt:i4>7864348</vt:i4>
      </vt:variant>
      <vt:variant>
        <vt:i4>20944</vt:i4>
      </vt:variant>
      <vt:variant>
        <vt:i4>1026</vt:i4>
      </vt:variant>
      <vt:variant>
        <vt:i4>1</vt:i4>
      </vt:variant>
      <vt:variant>
        <vt:lpwstr>cid:image001.jpg@01D033C8.1E7FC470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INSCRIPCION EN MIDEST ´2004</dc:title>
  <dc:creator>EQUIPO-129  Iñigo Usandizaga</dc:creator>
  <cp:lastModifiedBy>Ignacio IJ. Jiménez Urueña</cp:lastModifiedBy>
  <cp:revision>2</cp:revision>
  <cp:lastPrinted>2016-02-15T12:10:00Z</cp:lastPrinted>
  <dcterms:created xsi:type="dcterms:W3CDTF">2017-12-28T09:13:00Z</dcterms:created>
  <dcterms:modified xsi:type="dcterms:W3CDTF">2017-12-28T09:13:00Z</dcterms:modified>
</cp:coreProperties>
</file>